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38" w:beforeAutospacing="0" w:after="38" w:afterAutospacing="0" w:line="278" w:lineRule="atLeast"/>
        <w:ind w:left="0" w:right="0" w:firstLine="278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2022年秋季学期品质团活注意事项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38" w:beforeAutospacing="0" w:after="38" w:afterAutospacing="0" w:line="278" w:lineRule="atLeast"/>
        <w:ind w:left="0" w:right="0" w:firstLine="278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1.“品质团活”活动立项需依托网络新媒体平台对活动进行展示和宣传。为提倡节约环保，鼓励少使用或不使用条幅，鼓励使用二次海报，鼓励利用网络新媒体平台宣传。调查类活动采取在线调查形式；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8" w:beforeAutospacing="0" w:after="38" w:afterAutospacing="0" w:line="278" w:lineRule="atLeast"/>
        <w:ind w:left="0" w:right="0" w:firstLine="278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2.“品质团活”活动立项不可与其他共青团品牌活动的内容雷同；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8" w:beforeAutospacing="0" w:after="38" w:afterAutospacing="0" w:line="278" w:lineRule="atLeast"/>
        <w:ind w:left="0" w:right="0" w:firstLine="278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3.通过立项审核的活动项目需在网上办事中心完成申报流程；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8" w:beforeAutospacing="0" w:after="38" w:afterAutospacing="0" w:line="278" w:lineRule="atLeast"/>
        <w:ind w:left="0" w:right="0" w:firstLine="278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4.立项结题时需上交清晰度较高的图片资料和完整的视频资料。活动过程中的照片应注意体现场景、人物和活动主题；调查类活动上交调查表格以及数据统计结果，线上活动需做好截屏录屏等记录工作并提交。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8" w:beforeAutospacing="0" w:after="38" w:afterAutospacing="0" w:line="278" w:lineRule="atLeast"/>
        <w:ind w:left="0" w:right="0" w:firstLine="278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各申报单位按照以上要求和《关于开展2022年秋季学期“品质团活”立项申报工作的通知》做好活动开展及结题工作。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582352D5"/>
    <w:rsid w:val="5823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2022-11-21T06:19:00Z</dcterms:created>
  <dc:creator>杨瑜婧</dc:creator>
  <cp:lastModifiedBy>杨瑜婧</cp:lastModifiedBy>
  <dcterms:modified xsi:type="dcterms:W3CDTF">2022-11-21T06:20:31Z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C6C73682D9FF42A6811BCD3C549C1E67</vt:lpwstr>
  </property>
</Properties>
</file>