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1A75C4">
      <w:pPr>
        <w:spacing w:line="403" w:lineRule="auto"/>
        <w:rPr>
          <w:rFonts w:ascii="Arial"/>
          <w:sz w:val="21"/>
        </w:rPr>
      </w:pPr>
    </w:p>
    <w:p w14:paraId="67E29F1F">
      <w:pPr>
        <w:spacing w:before="167" w:line="234" w:lineRule="auto"/>
        <w:ind w:left="52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-1"/>
          <w:sz w:val="43"/>
          <w:szCs w:val="43"/>
        </w:rPr>
        <w:t>全国医保影像 AI 识图大赛公告（更新版）</w:t>
      </w:r>
    </w:p>
    <w:p w14:paraId="7D054B83">
      <w:pPr>
        <w:spacing w:line="431" w:lineRule="auto"/>
        <w:rPr>
          <w:rFonts w:ascii="Arial"/>
          <w:sz w:val="21"/>
        </w:rPr>
      </w:pPr>
    </w:p>
    <w:p w14:paraId="13525D32">
      <w:pPr>
        <w:spacing w:before="100" w:line="227" w:lineRule="auto"/>
        <w:ind w:left="62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3"/>
          <w:sz w:val="31"/>
          <w:szCs w:val="31"/>
        </w:rPr>
        <w:t>一、赛事介绍</w:t>
      </w:r>
    </w:p>
    <w:p w14:paraId="25A85C7B">
      <w:pPr>
        <w:pStyle w:val="2"/>
        <w:spacing w:before="193" w:line="347" w:lineRule="auto"/>
        <w:ind w:left="5" w:firstLine="618"/>
        <w:jc w:val="both"/>
      </w:pPr>
      <w:r>
        <w:rPr>
          <w:spacing w:val="1"/>
        </w:rPr>
        <w:t>按照党中央、国务院决策部署，为落实《国家医保局关</w:t>
      </w:r>
      <w:r>
        <w:t>于加快</w:t>
      </w:r>
      <w:r>
        <w:rPr>
          <w:spacing w:val="6"/>
        </w:rPr>
        <w:t>医疗保障领域场景培育和开放 支持新场景大规模应用的通知》要</w:t>
      </w:r>
      <w:r>
        <w:rPr>
          <w:spacing w:val="1"/>
        </w:rPr>
        <w:t>求，充分释放医保数据要素赋能作用，加快推进全</w:t>
      </w:r>
      <w:r>
        <w:t>民健康数智化建</w:t>
      </w:r>
      <w:r>
        <w:rPr>
          <w:spacing w:val="-10"/>
        </w:rPr>
        <w:t>设，国家医疗保障局与广西壮族自治区人民政府联合举办主题为“慧</w:t>
      </w:r>
      <w:r>
        <w:rPr>
          <w:spacing w:val="-3"/>
        </w:rPr>
        <w:t>眼识图 影领未来”的医保影像</w:t>
      </w:r>
      <w:r>
        <w:rPr>
          <w:spacing w:val="-84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AI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-3"/>
        </w:rPr>
        <w:t>识图大赛，</w:t>
      </w:r>
      <w:r>
        <w:rPr>
          <w:spacing w:val="-78"/>
        </w:rPr>
        <w:t xml:space="preserve"> </w:t>
      </w:r>
      <w:r>
        <w:rPr>
          <w:spacing w:val="-3"/>
        </w:rPr>
        <w:t>旨在推动新技术、新</w:t>
      </w:r>
      <w:r>
        <w:rPr>
          <w:spacing w:val="1"/>
        </w:rPr>
        <w:t>产品、新业态在医保领域大规模应用，更好地保障</w:t>
      </w:r>
      <w:r>
        <w:t>和改善民生，赋</w:t>
      </w:r>
      <w:r>
        <w:rPr>
          <w:spacing w:val="-2"/>
        </w:rPr>
        <w:t>能经济社会发展。</w:t>
      </w:r>
    </w:p>
    <w:p w14:paraId="70B74C3A">
      <w:pPr>
        <w:spacing w:before="1" w:line="227" w:lineRule="auto"/>
        <w:ind w:left="65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二、组织机构</w:t>
      </w:r>
    </w:p>
    <w:p w14:paraId="48756575">
      <w:pPr>
        <w:pStyle w:val="2"/>
        <w:spacing w:before="156" w:line="218" w:lineRule="auto"/>
        <w:ind w:left="625"/>
      </w:pPr>
      <w:r>
        <w:rPr>
          <w:rFonts w:ascii="KaiTi_GB2312" w:hAnsi="KaiTi_GB2312" w:eastAsia="KaiTi_GB2312" w:cs="KaiTi_GB2312"/>
          <w:spacing w:val="-4"/>
        </w:rPr>
        <w:t>主办单位</w:t>
      </w:r>
      <w:r>
        <w:rPr>
          <w:rFonts w:ascii="微软雅黑" w:hAnsi="微软雅黑" w:eastAsia="微软雅黑" w:cs="微软雅黑"/>
          <w:b/>
          <w:bCs/>
          <w:spacing w:val="-4"/>
          <w:sz w:val="20"/>
          <w:szCs w:val="20"/>
        </w:rPr>
        <w:t>：</w:t>
      </w:r>
      <w:r>
        <w:rPr>
          <w:rFonts w:ascii="微软雅黑" w:hAnsi="微软雅黑" w:eastAsia="微软雅黑" w:cs="微软雅黑"/>
          <w:b/>
          <w:bCs/>
          <w:spacing w:val="-14"/>
          <w:sz w:val="20"/>
          <w:szCs w:val="20"/>
        </w:rPr>
        <w:t xml:space="preserve"> </w:t>
      </w:r>
      <w:r>
        <w:rPr>
          <w:spacing w:val="-4"/>
        </w:rPr>
        <w:t>国家医疗保障局、广西壮族自治区人民政府。</w:t>
      </w:r>
    </w:p>
    <w:p w14:paraId="76759BE8">
      <w:pPr>
        <w:pStyle w:val="2"/>
        <w:spacing w:before="170" w:line="320" w:lineRule="auto"/>
        <w:ind w:left="6" w:firstLine="608"/>
        <w:jc w:val="both"/>
      </w:pPr>
      <w:r>
        <w:rPr>
          <w:rFonts w:ascii="KaiTi_GB2312" w:hAnsi="KaiTi_GB2312" w:eastAsia="KaiTi_GB2312" w:cs="KaiTi_GB2312"/>
          <w:spacing w:val="-6"/>
        </w:rPr>
        <w:t>承办单位</w:t>
      </w:r>
      <w:r>
        <w:rPr>
          <w:rFonts w:ascii="微软雅黑" w:hAnsi="微软雅黑" w:eastAsia="微软雅黑" w:cs="微软雅黑"/>
          <w:b/>
          <w:bCs/>
          <w:spacing w:val="-6"/>
          <w:sz w:val="20"/>
          <w:szCs w:val="20"/>
        </w:rPr>
        <w:t>：</w:t>
      </w:r>
      <w:r>
        <w:rPr>
          <w:spacing w:val="-6"/>
        </w:rPr>
        <w:t>国家医疗保障局大数据中心，中国—东盟国家人工智</w:t>
      </w:r>
      <w:r>
        <w:rPr>
          <w:spacing w:val="1"/>
        </w:rPr>
        <w:t>能应用合作中心，广西壮族自治区医疗保障局、</w:t>
      </w:r>
      <w:r>
        <w:t>广西壮族自治区科</w:t>
      </w:r>
      <w:r>
        <w:rPr>
          <w:spacing w:val="1"/>
        </w:rPr>
        <w:t>技厅、广西壮族自治区卫生健康委员会、广西壮</w:t>
      </w:r>
      <w:r>
        <w:t>族自治区大数据发</w:t>
      </w:r>
      <w:r>
        <w:rPr>
          <w:spacing w:val="-3"/>
        </w:rPr>
        <w:t>展局。</w:t>
      </w:r>
    </w:p>
    <w:p w14:paraId="675C2AA1">
      <w:pPr>
        <w:spacing w:before="1" w:line="227" w:lineRule="auto"/>
        <w:ind w:left="652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三、参赛对象</w:t>
      </w:r>
    </w:p>
    <w:p w14:paraId="15A6B80E">
      <w:pPr>
        <w:pStyle w:val="2"/>
        <w:spacing w:before="197" w:line="342" w:lineRule="auto"/>
        <w:ind w:firstLine="621"/>
        <w:jc w:val="both"/>
      </w:pPr>
      <w:r>
        <w:rPr>
          <w:spacing w:val="1"/>
        </w:rPr>
        <w:t>本次大赛以团队为主体申请参赛。团队成员可来自国内外</w:t>
      </w:r>
      <w:r>
        <w:t>注册</w:t>
      </w:r>
      <w:r>
        <w:rPr>
          <w:spacing w:val="1"/>
        </w:rPr>
        <w:t>登记的企业、医疗卫生机构、高等院校、科研院所以及其他事</w:t>
      </w:r>
      <w:r>
        <w:t>业单</w:t>
      </w:r>
      <w:r>
        <w:rPr>
          <w:spacing w:val="-2"/>
        </w:rPr>
        <w:t>位等。鼓励技术爱好者、学生等群体组团报名参赛。</w:t>
      </w:r>
    </w:p>
    <w:p w14:paraId="4D8BB679">
      <w:pPr>
        <w:spacing w:before="1" w:line="227" w:lineRule="auto"/>
        <w:ind w:left="66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四、参赛条件</w:t>
      </w:r>
    </w:p>
    <w:p w14:paraId="43A5978E">
      <w:pPr>
        <w:pStyle w:val="2"/>
        <w:spacing w:before="198" w:line="349" w:lineRule="auto"/>
        <w:ind w:left="21" w:firstLine="606"/>
      </w:pPr>
      <w:r>
        <w:rPr>
          <w:spacing w:val="1"/>
        </w:rPr>
        <w:t>参赛以团队形式进行，每支参赛团队应明确</w:t>
      </w:r>
      <w:r>
        <w:t>一名团队负责人，负责团队报名、赛事联络和成果提交等相关事项。每个参赛团队成</w:t>
      </w:r>
    </w:p>
    <w:p w14:paraId="1DD6CC7E">
      <w:pPr>
        <w:spacing w:line="349" w:lineRule="auto"/>
        <w:sectPr>
          <w:footerReference r:id="rId5" w:type="default"/>
          <w:pgSz w:w="11906" w:h="16839"/>
          <w:pgMar w:top="1431" w:right="1293" w:bottom="1136" w:left="1593" w:header="0" w:footer="764" w:gutter="0"/>
          <w:cols w:space="720" w:num="1"/>
        </w:sectPr>
      </w:pPr>
    </w:p>
    <w:p w14:paraId="61D554C3">
      <w:pPr>
        <w:pStyle w:val="2"/>
        <w:spacing w:before="181" w:line="350" w:lineRule="auto"/>
        <w:ind w:left="20" w:right="67" w:firstLine="7"/>
        <w:jc w:val="both"/>
      </w:pPr>
      <w:r>
        <w:t>员（含团队负责人）原则上不少于</w:t>
      </w:r>
      <w:r>
        <w:rPr>
          <w:spacing w:val="-78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2 </w:t>
      </w:r>
      <w:r>
        <w:t>人，不多于</w:t>
      </w:r>
      <w:r>
        <w:rPr>
          <w:spacing w:val="-70"/>
        </w:rPr>
        <w:t xml:space="preserve"> </w:t>
      </w:r>
      <w:r>
        <w:rPr>
          <w:rFonts w:ascii="Times New Roman" w:hAnsi="Times New Roman" w:eastAsia="Times New Roman" w:cs="Times New Roman"/>
        </w:rPr>
        <w:t>5</w:t>
      </w:r>
      <w:r>
        <w:rPr>
          <w:rFonts w:ascii="Times New Roman" w:hAnsi="Times New Roman" w:eastAsia="Times New Roman" w:cs="Times New Roman"/>
          <w:spacing w:val="-1"/>
        </w:rPr>
        <w:t xml:space="preserve"> </w:t>
      </w:r>
      <w:r>
        <w:rPr>
          <w:spacing w:val="-1"/>
        </w:rPr>
        <w:t>人。同一团队成</w:t>
      </w:r>
      <w:r>
        <w:t>员可</w:t>
      </w:r>
      <w:bookmarkStart w:id="0" w:name="_GoBack"/>
      <w:r>
        <w:t>来自于</w:t>
      </w:r>
      <w:bookmarkEnd w:id="0"/>
      <w:r>
        <w:t>不同机构，同一人只能参加一个团队，同一机构可派出</w:t>
      </w:r>
      <w:r>
        <w:rPr>
          <w:spacing w:val="-4"/>
        </w:rPr>
        <w:t>多人组建多个团队。</w:t>
      </w:r>
    </w:p>
    <w:p w14:paraId="31AB9018">
      <w:pPr>
        <w:pStyle w:val="2"/>
        <w:spacing w:before="4" w:line="342" w:lineRule="auto"/>
        <w:ind w:left="2" w:right="75" w:firstLine="650"/>
        <w:jc w:val="both"/>
      </w:pPr>
      <w:r>
        <w:rPr>
          <w:spacing w:val="-4"/>
        </w:rPr>
        <w:t>团队成员所属机构如发现被“信用中国”网站（</w:t>
      </w:r>
      <w:r>
        <w:fldChar w:fldCharType="begin"/>
      </w:r>
      <w:r>
        <w:instrText xml:space="preserve"> HYPERLINK "https://www.creditchin"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4"/>
        </w:rPr>
        <w:t>www.creditch</w:t>
      </w:r>
      <w:r>
        <w:rPr>
          <w:rFonts w:ascii="Times New Roman" w:hAnsi="Times New Roman" w:eastAsia="Times New Roman" w:cs="Times New Roman"/>
          <w:spacing w:val="-5"/>
        </w:rPr>
        <w:t>in</w:t>
      </w:r>
      <w:r>
        <w:rPr>
          <w:rFonts w:ascii="Times New Roman" w:hAnsi="Times New Roman" w:eastAsia="Times New Roman" w:cs="Times New Roman"/>
          <w:spacing w:val="-5"/>
        </w:rPr>
        <w:fldChar w:fldCharType="end"/>
      </w:r>
      <w:r>
        <w:rPr>
          <w:rFonts w:ascii="Times New Roman" w:hAnsi="Times New Roman" w:eastAsia="Times New Roman" w:cs="Times New Roman"/>
        </w:rPr>
        <w:t xml:space="preserve"> </w:t>
      </w:r>
      <w:r>
        <w:fldChar w:fldCharType="begin"/>
      </w:r>
      <w:r>
        <w:instrText xml:space="preserve"> HYPERLINK "a.gov.cn"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5"/>
        </w:rPr>
        <w:t>a.gov.cn</w:t>
      </w:r>
      <w:r>
        <w:rPr>
          <w:rFonts w:ascii="Times New Roman" w:hAnsi="Times New Roman" w:eastAsia="Times New Roman" w:cs="Times New Roman"/>
          <w:spacing w:val="-5"/>
        </w:rPr>
        <w:fldChar w:fldCharType="end"/>
      </w:r>
      <w:r>
        <w:rPr>
          <w:spacing w:val="-5"/>
        </w:rPr>
        <w:t>）列为失信惩戒对象，或被中国政府采购网（</w:t>
      </w:r>
      <w:r>
        <w:fldChar w:fldCharType="begin"/>
      </w:r>
      <w:r>
        <w:instrText xml:space="preserve"> HYPERLINK "https://www.ccgp.gov"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5"/>
        </w:rPr>
        <w:t>www.ccgp.gov</w:t>
      </w:r>
      <w:r>
        <w:rPr>
          <w:rFonts w:ascii="Times New Roman" w:hAnsi="Times New Roman" w:eastAsia="Times New Roman" w:cs="Times New Roman"/>
          <w:spacing w:val="-5"/>
        </w:rPr>
        <w:fldChar w:fldCharType="end"/>
      </w:r>
      <w:r>
        <w:rPr>
          <w:rFonts w:ascii="Times New Roman" w:hAnsi="Times New Roman" w:eastAsia="Times New Roman" w:cs="Times New Roman"/>
          <w:spacing w:val="-5"/>
        </w:rPr>
        <w:t>.</w:t>
      </w:r>
      <w:r>
        <w:rPr>
          <w:rFonts w:ascii="Times New Roman" w:hAnsi="Times New Roman" w:eastAsia="Times New Roman" w:cs="Times New Roman"/>
          <w:spacing w:val="8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cn</w:t>
      </w:r>
      <w:r>
        <w:rPr>
          <w:spacing w:val="-2"/>
        </w:rPr>
        <w:t>）列入政府采购严重违法失信名单，则取消参赛资格。</w:t>
      </w:r>
    </w:p>
    <w:p w14:paraId="095D87B7">
      <w:pPr>
        <w:spacing w:before="1" w:line="227" w:lineRule="auto"/>
        <w:ind w:left="6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五、比赛内容</w:t>
      </w:r>
    </w:p>
    <w:p w14:paraId="7C204739">
      <w:pPr>
        <w:spacing w:before="156" w:line="222" w:lineRule="auto"/>
        <w:ind w:left="636"/>
        <w:outlineLvl w:val="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（一）赛道设置</w:t>
      </w:r>
    </w:p>
    <w:p w14:paraId="32924FC9">
      <w:pPr>
        <w:pStyle w:val="2"/>
        <w:spacing w:before="207" w:line="349" w:lineRule="auto"/>
        <w:ind w:left="17" w:right="69" w:firstLine="616"/>
      </w:pPr>
      <w:r>
        <w:t>大赛共设置</w:t>
      </w:r>
      <w:r>
        <w:rPr>
          <w:spacing w:val="-66"/>
        </w:rPr>
        <w:t xml:space="preserve"> </w:t>
      </w:r>
      <w:r>
        <w:rPr>
          <w:rFonts w:ascii="Times New Roman" w:hAnsi="Times New Roman" w:eastAsia="Times New Roman" w:cs="Times New Roman"/>
        </w:rPr>
        <w:t xml:space="preserve">8 </w:t>
      </w:r>
      <w:r>
        <w:t>个赛道，均基于真实世界临床诊断路径设计，由</w:t>
      </w:r>
      <w:r>
        <w:rPr>
          <w:spacing w:val="-3"/>
        </w:rPr>
        <w:t>主办方统一提供训练数据集及独立测试集：</w:t>
      </w:r>
    </w:p>
    <w:p w14:paraId="7A7E39E7">
      <w:pPr>
        <w:pStyle w:val="2"/>
        <w:spacing w:before="2" w:line="219" w:lineRule="auto"/>
        <w:ind w:left="614"/>
      </w:pPr>
      <w:r>
        <w:rPr>
          <w:spacing w:val="-4"/>
        </w:rPr>
        <w:t>赛道一：基于</w:t>
      </w:r>
      <w:r>
        <w:rPr>
          <w:spacing w:val="-73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CT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-4"/>
        </w:rPr>
        <w:t>的肺癌智能检测</w:t>
      </w:r>
    </w:p>
    <w:p w14:paraId="5FAF13D4">
      <w:pPr>
        <w:pStyle w:val="2"/>
        <w:spacing w:before="220" w:line="219" w:lineRule="auto"/>
        <w:ind w:left="614"/>
      </w:pPr>
      <w:r>
        <w:rPr>
          <w:spacing w:val="-4"/>
        </w:rPr>
        <w:t>赛道二：基于</w:t>
      </w:r>
      <w:r>
        <w:rPr>
          <w:spacing w:val="-73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CT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-4"/>
        </w:rPr>
        <w:t>的肾癌智能检测</w:t>
      </w:r>
    </w:p>
    <w:p w14:paraId="3EE65055">
      <w:pPr>
        <w:pStyle w:val="2"/>
        <w:spacing w:before="220" w:line="219" w:lineRule="auto"/>
        <w:ind w:left="614"/>
      </w:pPr>
      <w:r>
        <w:rPr>
          <w:spacing w:val="-5"/>
        </w:rPr>
        <w:t>赛道三：基于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CTA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-5"/>
        </w:rPr>
        <w:t>的颅内动脉瘤智能检测</w:t>
      </w:r>
    </w:p>
    <w:p w14:paraId="08002C9E">
      <w:pPr>
        <w:pStyle w:val="2"/>
        <w:spacing w:before="220" w:line="219" w:lineRule="auto"/>
        <w:ind w:left="614"/>
      </w:pPr>
      <w:r>
        <w:rPr>
          <w:spacing w:val="-3"/>
        </w:rPr>
        <w:t>赛道四：基于</w:t>
      </w:r>
      <w:r>
        <w:rPr>
          <w:spacing w:val="-84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MRI</w:t>
      </w:r>
      <w:r>
        <w:rPr>
          <w:rFonts w:ascii="Times New Roman" w:hAnsi="Times New Roman" w:eastAsia="Times New Roman" w:cs="Times New Roman"/>
          <w:spacing w:val="33"/>
          <w:w w:val="101"/>
        </w:rPr>
        <w:t xml:space="preserve"> </w:t>
      </w:r>
      <w:r>
        <w:rPr>
          <w:spacing w:val="-3"/>
        </w:rPr>
        <w:t>的脑胶质瘤智能检测</w:t>
      </w:r>
    </w:p>
    <w:p w14:paraId="5291A28B">
      <w:pPr>
        <w:pStyle w:val="2"/>
        <w:spacing w:before="220" w:line="219" w:lineRule="auto"/>
        <w:ind w:left="614"/>
      </w:pPr>
      <w:r>
        <w:rPr>
          <w:spacing w:val="-3"/>
        </w:rPr>
        <w:t>赛道五：基于</w:t>
      </w:r>
      <w:r>
        <w:rPr>
          <w:spacing w:val="-82"/>
        </w:rPr>
        <w:t xml:space="preserve"> </w:t>
      </w:r>
      <w:r>
        <w:rPr>
          <w:rFonts w:ascii="Times New Roman" w:hAnsi="Times New Roman" w:eastAsia="Times New Roman" w:cs="Times New Roman"/>
          <w:spacing w:val="-3"/>
        </w:rPr>
        <w:t>MRI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-3"/>
        </w:rPr>
        <w:t>的前列腺病变智能检测</w:t>
      </w:r>
    </w:p>
    <w:p w14:paraId="3E88B56C">
      <w:pPr>
        <w:pStyle w:val="2"/>
        <w:spacing w:before="221" w:line="219" w:lineRule="auto"/>
        <w:ind w:left="614"/>
      </w:pPr>
      <w:r>
        <w:rPr>
          <w:spacing w:val="-2"/>
        </w:rPr>
        <w:t>赛道六：基于乳腺钼靶的乳腺癌智能检测</w:t>
      </w:r>
    </w:p>
    <w:p w14:paraId="020028D6">
      <w:pPr>
        <w:pStyle w:val="2"/>
        <w:spacing w:before="220" w:line="219" w:lineRule="auto"/>
        <w:ind w:left="614"/>
      </w:pPr>
      <w:r>
        <w:rPr>
          <w:spacing w:val="-2"/>
        </w:rPr>
        <w:t>赛道七：基于超声的甲状腺癌智能检测</w:t>
      </w:r>
    </w:p>
    <w:p w14:paraId="304250E2">
      <w:pPr>
        <w:pStyle w:val="2"/>
        <w:spacing w:before="220" w:line="219" w:lineRule="auto"/>
        <w:ind w:left="614"/>
      </w:pPr>
      <w:r>
        <w:rPr>
          <w:spacing w:val="-2"/>
        </w:rPr>
        <w:t>赛道八：基于胸部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 xml:space="preserve">X </w:t>
      </w:r>
      <w:r>
        <w:rPr>
          <w:spacing w:val="-2"/>
        </w:rPr>
        <w:t>光的多种疾病智能检测</w:t>
      </w:r>
    </w:p>
    <w:p w14:paraId="4DE35611">
      <w:pPr>
        <w:spacing w:before="180" w:line="227" w:lineRule="auto"/>
        <w:ind w:left="636"/>
        <w:outlineLvl w:val="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（二）组别说明</w:t>
      </w:r>
    </w:p>
    <w:p w14:paraId="56BE61A1">
      <w:pPr>
        <w:pStyle w:val="2"/>
        <w:spacing w:before="198" w:line="349" w:lineRule="auto"/>
        <w:ind w:left="11" w:right="69" w:firstLine="622"/>
      </w:pPr>
      <w:r>
        <w:t>大赛围绕医保高频医学影像应用场景，结合参赛团队技术基础</w:t>
      </w:r>
      <w:r>
        <w:rPr>
          <w:spacing w:val="-3"/>
        </w:rPr>
        <w:t>和参赛目标的差异，设置自有模型组和自建模型组两个组别。</w:t>
      </w:r>
    </w:p>
    <w:p w14:paraId="6F0C40AB">
      <w:pPr>
        <w:pStyle w:val="2"/>
        <w:spacing w:before="5" w:line="349" w:lineRule="auto"/>
        <w:ind w:firstLine="645"/>
        <w:jc w:val="both"/>
      </w:pPr>
      <w:r>
        <w:rPr>
          <w:rFonts w:ascii="Times New Roman" w:hAnsi="Times New Roman" w:eastAsia="Times New Roman" w:cs="Times New Roman"/>
          <w:spacing w:val="-8"/>
        </w:rPr>
        <w:t xml:space="preserve">1. </w:t>
      </w:r>
      <w:r>
        <w:rPr>
          <w:spacing w:val="-8"/>
        </w:rPr>
        <w:t>自有模型组：本组别参赛团队以容器形式部署自有成熟模型，</w:t>
      </w:r>
      <w:r>
        <w:rPr>
          <w:spacing w:val="1"/>
        </w:rPr>
        <w:t>使用大赛提供的医学影像数据对模型进行微调或直接开展推</w:t>
      </w:r>
      <w:r>
        <w:t>理，重</w:t>
      </w:r>
      <w:r>
        <w:rPr>
          <w:spacing w:val="1"/>
        </w:rPr>
        <w:t>点检验模型在医保真实世界应用场景中的适配性、实用性与</w:t>
      </w:r>
      <w:r>
        <w:t>产业应</w:t>
      </w:r>
    </w:p>
    <w:p w14:paraId="104265AA">
      <w:pPr>
        <w:spacing w:line="349" w:lineRule="auto"/>
        <w:sectPr>
          <w:footerReference r:id="rId6" w:type="default"/>
          <w:pgSz w:w="11906" w:h="16839"/>
          <w:pgMar w:top="1431" w:right="1223" w:bottom="1136" w:left="1595" w:header="0" w:footer="764" w:gutter="0"/>
          <w:cols w:space="720" w:num="1"/>
        </w:sectPr>
      </w:pPr>
    </w:p>
    <w:p w14:paraId="14283C10">
      <w:pPr>
        <w:pStyle w:val="2"/>
        <w:spacing w:before="182" w:line="220" w:lineRule="auto"/>
        <w:ind w:left="7"/>
      </w:pPr>
      <w:r>
        <w:rPr>
          <w:spacing w:val="-2"/>
        </w:rPr>
        <w:t>用价值。</w:t>
      </w:r>
    </w:p>
    <w:p w14:paraId="3719FFBF">
      <w:pPr>
        <w:pStyle w:val="2"/>
        <w:spacing w:before="221" w:line="350" w:lineRule="auto"/>
        <w:ind w:right="53" w:firstLine="618"/>
      </w:pPr>
      <w:r>
        <w:rPr>
          <w:rFonts w:ascii="Times New Roman" w:hAnsi="Times New Roman" w:eastAsia="Times New Roman" w:cs="Times New Roman"/>
          <w:spacing w:val="-9"/>
        </w:rPr>
        <w:t xml:space="preserve">2. </w:t>
      </w:r>
      <w:r>
        <w:rPr>
          <w:spacing w:val="-9"/>
        </w:rPr>
        <w:t>自建模型组：本组别参赛团队仅限使用大</w:t>
      </w:r>
      <w:r>
        <w:rPr>
          <w:spacing w:val="-10"/>
        </w:rPr>
        <w:t>赛提供的深度学习框</w:t>
      </w:r>
      <w:r>
        <w:rPr>
          <w:spacing w:val="-4"/>
        </w:rPr>
        <w:t>架（</w:t>
      </w:r>
      <w:r>
        <w:rPr>
          <w:rFonts w:ascii="Times New Roman" w:hAnsi="Times New Roman" w:eastAsia="Times New Roman" w:cs="Times New Roman"/>
          <w:spacing w:val="-4"/>
        </w:rPr>
        <w:t>PyTorch</w:t>
      </w:r>
      <w:r>
        <w:rPr>
          <w:rFonts w:ascii="Times New Roman" w:hAnsi="Times New Roman" w:eastAsia="Times New Roman" w:cs="Times New Roman"/>
          <w:spacing w:val="-39"/>
        </w:rPr>
        <w:t xml:space="preserve"> </w:t>
      </w:r>
      <w:r>
        <w:rPr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TensorFlow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-4"/>
        </w:rPr>
        <w:t>等）、基线模型（</w:t>
      </w:r>
      <w:r>
        <w:rPr>
          <w:rFonts w:ascii="Times New Roman" w:hAnsi="Times New Roman" w:eastAsia="Times New Roman" w:cs="Times New Roman"/>
          <w:spacing w:val="-4"/>
        </w:rPr>
        <w:t>nnU-Net</w:t>
      </w:r>
      <w:r>
        <w:rPr>
          <w:rFonts w:ascii="Times New Roman" w:hAnsi="Times New Roman" w:eastAsia="Times New Roman" w:cs="Times New Roman"/>
          <w:spacing w:val="-44"/>
        </w:rPr>
        <w:t xml:space="preserve"> </w:t>
      </w:r>
      <w:r>
        <w:rPr>
          <w:spacing w:val="-4"/>
        </w:rPr>
        <w:t>、</w:t>
      </w:r>
      <w:r>
        <w:rPr>
          <w:rFonts w:ascii="Times New Roman" w:hAnsi="Times New Roman" w:eastAsia="Times New Roman" w:cs="Times New Roman"/>
          <w:spacing w:val="-4"/>
        </w:rPr>
        <w:t>3DUX-Net</w:t>
      </w:r>
      <w:r>
        <w:rPr>
          <w:spacing w:val="-4"/>
        </w:rPr>
        <w:t>、</w:t>
      </w:r>
      <w:r>
        <w:t xml:space="preserve"> </w:t>
      </w:r>
      <w:r>
        <w:rPr>
          <w:rFonts w:ascii="Times New Roman" w:hAnsi="Times New Roman" w:eastAsia="Times New Roman" w:cs="Times New Roman"/>
          <w:spacing w:val="-8"/>
        </w:rPr>
        <w:t>MedNeXt</w:t>
      </w:r>
      <w:r>
        <w:rPr>
          <w:spacing w:val="-8"/>
        </w:rPr>
        <w:t>、</w:t>
      </w:r>
      <w:r>
        <w:rPr>
          <w:rFonts w:ascii="Times New Roman" w:hAnsi="Times New Roman" w:eastAsia="Times New Roman" w:cs="Times New Roman"/>
          <w:spacing w:val="-8"/>
        </w:rPr>
        <w:t>SAM-Med3D</w:t>
      </w:r>
      <w:r>
        <w:rPr>
          <w:spacing w:val="-8"/>
        </w:rPr>
        <w:t>、</w:t>
      </w:r>
      <w:r>
        <w:rPr>
          <w:rFonts w:ascii="Times New Roman" w:hAnsi="Times New Roman" w:eastAsia="Times New Roman" w:cs="Times New Roman"/>
          <w:spacing w:val="-8"/>
        </w:rPr>
        <w:t>YOLOv8/YOLO11</w:t>
      </w:r>
      <w:r>
        <w:rPr>
          <w:spacing w:val="-8"/>
        </w:rPr>
        <w:t>、</w:t>
      </w:r>
      <w:r>
        <w:rPr>
          <w:rFonts w:ascii="Times New Roman" w:hAnsi="Times New Roman" w:eastAsia="Times New Roman" w:cs="Times New Roman"/>
          <w:spacing w:val="-9"/>
        </w:rPr>
        <w:t>MedSAM-ViT-B</w:t>
      </w:r>
      <w:r>
        <w:rPr>
          <w:spacing w:val="-9"/>
        </w:rPr>
        <w:t>、</w:t>
      </w:r>
      <w:r>
        <w:rPr>
          <w:rFonts w:ascii="Times New Roman" w:hAnsi="Times New Roman" w:eastAsia="Times New Roman" w:cs="Times New Roman"/>
          <w:spacing w:val="-9"/>
        </w:rPr>
        <w:t>Swin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Transformer</w:t>
      </w:r>
      <w:r>
        <w:rPr>
          <w:spacing w:val="-5"/>
        </w:rPr>
        <w:t>、</w:t>
      </w:r>
      <w:r>
        <w:rPr>
          <w:rFonts w:ascii="Times New Roman" w:hAnsi="Times New Roman" w:eastAsia="Times New Roman" w:cs="Times New Roman"/>
          <w:spacing w:val="-5"/>
        </w:rPr>
        <w:t>CheXNet</w:t>
      </w:r>
      <w:r>
        <w:rPr>
          <w:spacing w:val="-5"/>
        </w:rPr>
        <w:t>、</w:t>
      </w:r>
      <w:r>
        <w:rPr>
          <w:rFonts w:ascii="Times New Roman" w:hAnsi="Times New Roman" w:eastAsia="Times New Roman" w:cs="Times New Roman"/>
          <w:spacing w:val="-5"/>
        </w:rPr>
        <w:t>TorchXRayV</w:t>
      </w:r>
      <w:r>
        <w:rPr>
          <w:rFonts w:ascii="Times New Roman" w:hAnsi="Times New Roman" w:eastAsia="Times New Roman" w:cs="Times New Roman"/>
          <w:spacing w:val="-6"/>
        </w:rPr>
        <w:t>ision</w:t>
      </w:r>
      <w:r>
        <w:rPr>
          <w:spacing w:val="-6"/>
        </w:rPr>
        <w:t>、</w:t>
      </w:r>
      <w:r>
        <w:rPr>
          <w:rFonts w:ascii="Times New Roman" w:hAnsi="Times New Roman" w:eastAsia="Times New Roman" w:cs="Times New Roman"/>
          <w:spacing w:val="-6"/>
        </w:rPr>
        <w:t>MedGemma-4B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6"/>
        </w:rPr>
        <w:t>等）相关</w:t>
      </w:r>
      <w:r>
        <w:rPr>
          <w:spacing w:val="1"/>
        </w:rPr>
        <w:t>基础资源，完成模型的搭建与改造，并使用大赛提供的医学影像数</w:t>
      </w:r>
      <w:r>
        <w:rPr>
          <w:spacing w:val="2"/>
        </w:rPr>
        <w:t>据进行训练、微调、推理。重点考察自建模型的创新性、可行性、</w:t>
      </w:r>
      <w:r>
        <w:t>经济性。</w:t>
      </w:r>
    </w:p>
    <w:p w14:paraId="37C5C25F">
      <w:pPr>
        <w:pStyle w:val="2"/>
        <w:spacing w:before="5" w:line="345" w:lineRule="auto"/>
        <w:ind w:left="3" w:firstLine="621"/>
        <w:jc w:val="both"/>
      </w:pPr>
      <w:r>
        <w:rPr>
          <w:spacing w:val="1"/>
        </w:rPr>
        <w:t>所有赛道均设自有模型组；赛道一、四、六、八额外增</w:t>
      </w:r>
      <w:r>
        <w:t>设自建</w:t>
      </w:r>
      <w:r>
        <w:rPr>
          <w:spacing w:val="-7"/>
        </w:rPr>
        <w:t>模型组。每支团队可报名多个赛道，但每条赛道仅限选择一个组别。</w:t>
      </w:r>
      <w:r>
        <w:rPr>
          <w:spacing w:val="1"/>
        </w:rPr>
        <w:t>各赛道、各组别独立评审。所有团队须在大赛统一云平台上</w:t>
      </w:r>
      <w:r>
        <w:t>，使用</w:t>
      </w:r>
      <w:r>
        <w:rPr>
          <w:spacing w:val="1"/>
        </w:rPr>
        <w:t>组委会提供的医学影像训练集训练模型，或直接对封闭测试</w:t>
      </w:r>
      <w:r>
        <w:t>集进行</w:t>
      </w:r>
      <w:r>
        <w:rPr>
          <w:spacing w:val="-2"/>
        </w:rPr>
        <w:t>推理。须按所选赛道与组别提交技术报告。</w:t>
      </w:r>
    </w:p>
    <w:p w14:paraId="7B5A397A">
      <w:pPr>
        <w:spacing w:before="1" w:line="221" w:lineRule="auto"/>
        <w:ind w:left="640"/>
        <w:outlineLvl w:val="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（三）比赛目标</w:t>
      </w:r>
    </w:p>
    <w:p w14:paraId="3578C1CE">
      <w:pPr>
        <w:pStyle w:val="2"/>
        <w:spacing w:before="203" w:line="350" w:lineRule="auto"/>
        <w:ind w:right="58" w:firstLine="688"/>
        <w:jc w:val="both"/>
      </w:pPr>
      <w:r>
        <w:rPr>
          <w:spacing w:val="-7"/>
        </w:rPr>
        <w:t>旨在赛出一批</w:t>
      </w:r>
      <w:r>
        <w:rPr>
          <w:spacing w:val="-86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 xml:space="preserve">AI </w:t>
      </w:r>
      <w:r>
        <w:rPr>
          <w:spacing w:val="-7"/>
        </w:rPr>
        <w:t>技术应用于医学影像辅助诊断的优秀成果，推</w:t>
      </w:r>
      <w:r>
        <w:rPr>
          <w:spacing w:val="1"/>
        </w:rPr>
        <w:t>进医保领域场景培育、开放和应用，提升诊疗效率，促进检查检验结果互认，让优质诊疗服务惠及基层。重点检验以下能力：一是检</w:t>
      </w:r>
      <w:r>
        <w:rPr>
          <w:spacing w:val="-4"/>
        </w:rPr>
        <w:t>验并推动</w:t>
      </w:r>
      <w:r>
        <w:rPr>
          <w:spacing w:val="-85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 xml:space="preserve">AI </w:t>
      </w:r>
      <w:r>
        <w:rPr>
          <w:spacing w:val="-4"/>
        </w:rPr>
        <w:t>开展影像真实性识别，准确区</w:t>
      </w:r>
      <w:r>
        <w:rPr>
          <w:spacing w:val="-5"/>
        </w:rPr>
        <w:t>分真人体、假人体和非人</w:t>
      </w:r>
      <w:r>
        <w:rPr>
          <w:spacing w:val="-4"/>
        </w:rPr>
        <w:t>体影像；二是检验并推动</w:t>
      </w:r>
      <w:r>
        <w:rPr>
          <w:spacing w:val="-70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 xml:space="preserve">AI </w:t>
      </w:r>
      <w:r>
        <w:rPr>
          <w:spacing w:val="-4"/>
        </w:rPr>
        <w:t>开展影像规范性审核，识别重复影像、拼接影像等异常情形；三是检验并推动</w:t>
      </w:r>
      <w:r>
        <w:rPr>
          <w:spacing w:val="-87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 xml:space="preserve">AI </w:t>
      </w:r>
      <w:r>
        <w:rPr>
          <w:spacing w:val="-4"/>
        </w:rPr>
        <w:t>提升</w:t>
      </w:r>
      <w:r>
        <w:rPr>
          <w:spacing w:val="-5"/>
        </w:rPr>
        <w:t>病灶识别能力，区分</w:t>
      </w:r>
      <w:r>
        <w:rPr>
          <w:spacing w:val="6"/>
        </w:rPr>
        <w:t>肿瘤性病变和非肿瘤性占位；四是检验并推动</w:t>
      </w:r>
      <w:r>
        <w:rPr>
          <w:spacing w:val="-80"/>
        </w:rPr>
        <w:t xml:space="preserve"> </w:t>
      </w:r>
      <w:r>
        <w:rPr>
          <w:rFonts w:ascii="Times New Roman" w:hAnsi="Times New Roman" w:eastAsia="Times New Roman" w:cs="Times New Roman"/>
        </w:rPr>
        <w:t>AI</w:t>
      </w:r>
      <w:r>
        <w:rPr>
          <w:rFonts w:ascii="Times New Roman" w:hAnsi="Times New Roman" w:eastAsia="Times New Roman" w:cs="Times New Roman"/>
          <w:spacing w:val="6"/>
        </w:rPr>
        <w:t xml:space="preserve"> </w:t>
      </w:r>
      <w:r>
        <w:rPr>
          <w:spacing w:val="6"/>
        </w:rPr>
        <w:t>提升辅助诊断能</w:t>
      </w:r>
      <w:r>
        <w:rPr>
          <w:spacing w:val="-4"/>
        </w:rPr>
        <w:t>力，支持肿瘤分期及相关疾病诊断分析；五是</w:t>
      </w:r>
      <w:r>
        <w:rPr>
          <w:spacing w:val="-5"/>
        </w:rPr>
        <w:t>检验并推动</w:t>
      </w:r>
      <w:r>
        <w:rPr>
          <w:spacing w:val="-85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AI </w:t>
      </w:r>
      <w:r>
        <w:rPr>
          <w:spacing w:val="-5"/>
        </w:rPr>
        <w:t>提升影</w:t>
      </w:r>
      <w:r>
        <w:rPr>
          <w:spacing w:val="1"/>
        </w:rPr>
        <w:t>像判读效率，实现关键点位自动标注和诊断结论可解释。其中一、</w:t>
      </w:r>
    </w:p>
    <w:p w14:paraId="63E44F0A">
      <w:pPr>
        <w:spacing w:line="350" w:lineRule="auto"/>
        <w:sectPr>
          <w:footerReference r:id="rId7" w:type="default"/>
          <w:pgSz w:w="11906" w:h="16839"/>
          <w:pgMar w:top="1431" w:right="1209" w:bottom="1136" w:left="1591" w:header="0" w:footer="768" w:gutter="0"/>
          <w:cols w:space="720" w:num="1"/>
        </w:sectPr>
      </w:pPr>
    </w:p>
    <w:p w14:paraId="3C39F043">
      <w:pPr>
        <w:pStyle w:val="2"/>
        <w:spacing w:before="183" w:line="219" w:lineRule="auto"/>
        <w:ind w:left="23"/>
      </w:pPr>
      <w:r>
        <w:rPr>
          <w:spacing w:val="-3"/>
        </w:rPr>
        <w:t>二项为参赛基础考核项，不达标则不得进入后续竞赛环节。</w:t>
      </w:r>
    </w:p>
    <w:p w14:paraId="243CD67A">
      <w:pPr>
        <w:spacing w:before="181" w:line="226" w:lineRule="auto"/>
        <w:ind w:left="63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六、报名方式</w:t>
      </w:r>
    </w:p>
    <w:p w14:paraId="41571F2A">
      <w:pPr>
        <w:pStyle w:val="2"/>
        <w:spacing w:before="198" w:line="350" w:lineRule="auto"/>
        <w:ind w:firstLine="636"/>
        <w:jc w:val="both"/>
      </w:pPr>
      <w:r>
        <w:rPr>
          <w:spacing w:val="-8"/>
        </w:rPr>
        <w:t>大赛采用网络报名方式。参赛团队请于</w:t>
      </w:r>
      <w:r>
        <w:rPr>
          <w:spacing w:val="-76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 xml:space="preserve">2026 </w:t>
      </w:r>
      <w:r>
        <w:rPr>
          <w:spacing w:val="-8"/>
        </w:rPr>
        <w:t>年</w:t>
      </w:r>
      <w:r>
        <w:rPr>
          <w:spacing w:val="-75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7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-8"/>
        </w:rPr>
        <w:t>月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 xml:space="preserve">15  </w:t>
      </w:r>
      <w:r>
        <w:rPr>
          <w:spacing w:val="-8"/>
        </w:rPr>
        <w:t>日</w:t>
      </w:r>
      <w:r>
        <w:rPr>
          <w:spacing w:val="-83"/>
        </w:rPr>
        <w:t xml:space="preserve"> </w:t>
      </w:r>
      <w:r>
        <w:rPr>
          <w:rFonts w:ascii="Times New Roman" w:hAnsi="Times New Roman" w:eastAsia="Times New Roman" w:cs="Times New Roman"/>
          <w:spacing w:val="-8"/>
        </w:rPr>
        <w:t>24:00</w:t>
      </w:r>
      <w:r>
        <w:rPr>
          <w:spacing w:val="-6"/>
        </w:rPr>
        <w:t>前，通过大赛官方网站报名，填报提交团队</w:t>
      </w:r>
      <w:r>
        <w:rPr>
          <w:spacing w:val="-7"/>
        </w:rPr>
        <w:t>信息，上传参赛承诺书、</w:t>
      </w:r>
      <w:r>
        <w:rPr>
          <w:spacing w:val="1"/>
        </w:rPr>
        <w:t>知识产权与合规声明、参赛技术意向书及相关证明材料扫描件。大</w:t>
      </w:r>
      <w:r>
        <w:rPr>
          <w:spacing w:val="-2"/>
        </w:rPr>
        <w:t>赛相关信息详见大赛官方网站（</w:t>
      </w:r>
      <w:r>
        <w:fldChar w:fldCharType="begin"/>
      </w:r>
      <w:r>
        <w:instrText xml:space="preserve"> HYPERLINK "https://ybystds.ybj.gxzf.gov.cn/"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2"/>
        </w:rPr>
        <w:t>https://yby</w:t>
      </w:r>
      <w:r>
        <w:rPr>
          <w:rFonts w:ascii="Times New Roman" w:hAnsi="Times New Roman" w:eastAsia="Times New Roman" w:cs="Times New Roman"/>
          <w:spacing w:val="-3"/>
        </w:rPr>
        <w:t>stds.ybj.gxzf.gov.cn/</w:t>
      </w:r>
      <w:r>
        <w:rPr>
          <w:rFonts w:ascii="Times New Roman" w:hAnsi="Times New Roman" w:eastAsia="Times New Roman" w:cs="Times New Roman"/>
          <w:spacing w:val="-3"/>
        </w:rPr>
        <w:fldChar w:fldCharType="end"/>
      </w:r>
      <w:r>
        <w:rPr>
          <w:spacing w:val="-3"/>
        </w:rPr>
        <w:t>）。</w:t>
      </w:r>
    </w:p>
    <w:p w14:paraId="2F93C653">
      <w:pPr>
        <w:pStyle w:val="2"/>
        <w:spacing w:before="5" w:line="349" w:lineRule="auto"/>
        <w:ind w:left="7" w:right="90" w:firstLine="629"/>
        <w:jc w:val="both"/>
      </w:pPr>
      <w:r>
        <w:rPr>
          <w:spacing w:val="-2"/>
        </w:rPr>
        <w:t>主办方在收到报名信息后</w:t>
      </w:r>
      <w:r>
        <w:rPr>
          <w:spacing w:val="-75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7</w:t>
      </w:r>
      <w:r>
        <w:rPr>
          <w:rFonts w:ascii="Times New Roman" w:hAnsi="Times New Roman" w:eastAsia="Times New Roman" w:cs="Times New Roman"/>
          <w:spacing w:val="70"/>
        </w:rPr>
        <w:t xml:space="preserve"> </w:t>
      </w:r>
      <w:r>
        <w:rPr>
          <w:spacing w:val="-2"/>
        </w:rPr>
        <w:t>日内反馈审核结果</w:t>
      </w:r>
      <w:r>
        <w:rPr>
          <w:spacing w:val="-3"/>
        </w:rPr>
        <w:t>，并通过大赛官</w:t>
      </w:r>
      <w:r>
        <w:rPr>
          <w:spacing w:val="1"/>
        </w:rPr>
        <w:t>网站内信、手机短信和电子邮箱反馈审核结果。</w:t>
      </w:r>
      <w:r>
        <w:t>如通过审核，参赛</w:t>
      </w:r>
      <w:r>
        <w:rPr>
          <w:spacing w:val="1"/>
        </w:rPr>
        <w:t>团队即可参加初赛；如未通过审核，参赛团队可</w:t>
      </w:r>
      <w:r>
        <w:t>登录用户页面查看</w:t>
      </w:r>
      <w:r>
        <w:rPr>
          <w:spacing w:val="-2"/>
        </w:rPr>
        <w:t>反馈信息，在大赛报名截止时间前进行修改后重新提</w:t>
      </w:r>
      <w:r>
        <w:rPr>
          <w:spacing w:val="-3"/>
        </w:rPr>
        <w:t>交。</w:t>
      </w:r>
    </w:p>
    <w:p w14:paraId="3BC4114B">
      <w:pPr>
        <w:pStyle w:val="2"/>
        <w:spacing w:before="3" w:line="338" w:lineRule="auto"/>
        <w:ind w:left="14" w:right="96" w:firstLine="608"/>
      </w:pPr>
      <w:r>
        <w:rPr>
          <w:spacing w:val="-7"/>
        </w:rPr>
        <w:t>请参赛团队务必注意：修改报名信息请于</w:t>
      </w:r>
      <w:r>
        <w:rPr>
          <w:rFonts w:ascii="Times New Roman" w:hAnsi="Times New Roman" w:eastAsia="Times New Roman" w:cs="Times New Roman"/>
          <w:spacing w:val="-7"/>
        </w:rPr>
        <w:t>2026</w:t>
      </w:r>
      <w:r>
        <w:rPr>
          <w:rFonts w:ascii="Times New Roman" w:hAnsi="Times New Roman" w:eastAsia="Times New Roman" w:cs="Times New Roman"/>
          <w:spacing w:val="-9"/>
        </w:rPr>
        <w:t xml:space="preserve"> </w:t>
      </w:r>
      <w:r>
        <w:rPr>
          <w:spacing w:val="-7"/>
        </w:rPr>
        <w:t>年</w:t>
      </w:r>
      <w:r>
        <w:rPr>
          <w:rFonts w:ascii="Times New Roman" w:hAnsi="Times New Roman" w:eastAsia="Times New Roman" w:cs="Times New Roman"/>
          <w:spacing w:val="-7"/>
        </w:rPr>
        <w:t xml:space="preserve">7 </w:t>
      </w:r>
      <w:r>
        <w:rPr>
          <w:spacing w:val="-7"/>
        </w:rPr>
        <w:t>月</w:t>
      </w:r>
      <w:r>
        <w:rPr>
          <w:rFonts w:ascii="Times New Roman" w:hAnsi="Times New Roman" w:eastAsia="Times New Roman" w:cs="Times New Roman"/>
          <w:spacing w:val="-7"/>
        </w:rPr>
        <w:t>20</w:t>
      </w:r>
      <w:r>
        <w:rPr>
          <w:rFonts w:ascii="Times New Roman" w:hAnsi="Times New Roman" w:eastAsia="Times New Roman" w:cs="Times New Roman"/>
          <w:spacing w:val="34"/>
        </w:rPr>
        <w:t xml:space="preserve"> </w:t>
      </w:r>
      <w:r>
        <w:rPr>
          <w:spacing w:val="-7"/>
        </w:rPr>
        <w:t>日</w:t>
      </w:r>
      <w:r>
        <w:rPr>
          <w:spacing w:val="-86"/>
        </w:rPr>
        <w:t xml:space="preserve"> </w:t>
      </w:r>
      <w:r>
        <w:rPr>
          <w:rFonts w:ascii="Times New Roman" w:hAnsi="Times New Roman" w:eastAsia="Times New Roman" w:cs="Times New Roman"/>
          <w:spacing w:val="-7"/>
        </w:rPr>
        <w:t>18:00</w:t>
      </w:r>
      <w:r>
        <w:rPr>
          <w:spacing w:val="-3"/>
        </w:rPr>
        <w:t>前完成，逾期主办方将不再接受修改。</w:t>
      </w:r>
    </w:p>
    <w:p w14:paraId="140466A0">
      <w:pPr>
        <w:spacing w:line="227" w:lineRule="auto"/>
        <w:ind w:left="64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七、赛程赛制</w:t>
      </w:r>
    </w:p>
    <w:p w14:paraId="7F0308D1">
      <w:pPr>
        <w:pStyle w:val="2"/>
        <w:spacing w:before="198" w:line="219" w:lineRule="auto"/>
        <w:ind w:left="670"/>
      </w:pPr>
      <w:r>
        <w:rPr>
          <w:spacing w:val="-7"/>
        </w:rPr>
        <w:t>比赛分为初赛和决赛。</w:t>
      </w:r>
    </w:p>
    <w:p w14:paraId="22F0018E">
      <w:pPr>
        <w:spacing w:before="179" w:line="222" w:lineRule="auto"/>
        <w:ind w:left="638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8"/>
          <w:sz w:val="31"/>
          <w:szCs w:val="31"/>
        </w:rPr>
        <w:t>（一）初赛</w:t>
      </w:r>
    </w:p>
    <w:p w14:paraId="69090A97">
      <w:pPr>
        <w:pStyle w:val="2"/>
        <w:spacing w:before="205" w:line="220" w:lineRule="auto"/>
        <w:ind w:left="647"/>
      </w:pPr>
      <w:r>
        <w:rPr>
          <w:rFonts w:ascii="Times New Roman" w:hAnsi="Times New Roman" w:eastAsia="Times New Roman" w:cs="Times New Roman"/>
          <w:spacing w:val="-13"/>
        </w:rPr>
        <w:t>1.</w:t>
      </w:r>
      <w:r>
        <w:rPr>
          <w:rFonts w:ascii="Times New Roman" w:hAnsi="Times New Roman" w:eastAsia="Times New Roman" w:cs="Times New Roman"/>
          <w:spacing w:val="-40"/>
        </w:rPr>
        <w:t xml:space="preserve"> </w:t>
      </w:r>
      <w:r>
        <w:rPr>
          <w:spacing w:val="-13"/>
        </w:rPr>
        <w:t>时间：</w:t>
      </w:r>
      <w:r>
        <w:rPr>
          <w:rFonts w:ascii="Times New Roman" w:hAnsi="Times New Roman" w:eastAsia="Times New Roman" w:cs="Times New Roman"/>
          <w:spacing w:val="-13"/>
        </w:rPr>
        <w:t xml:space="preserve">2026 </w:t>
      </w:r>
      <w:r>
        <w:rPr>
          <w:spacing w:val="-13"/>
        </w:rPr>
        <w:t>年</w:t>
      </w:r>
      <w:r>
        <w:rPr>
          <w:spacing w:val="-70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>8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-13"/>
        </w:rPr>
        <w:t>月</w:t>
      </w:r>
      <w:r>
        <w:rPr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 xml:space="preserve">1  </w:t>
      </w:r>
      <w:r>
        <w:rPr>
          <w:spacing w:val="-13"/>
        </w:rPr>
        <w:t>日至</w:t>
      </w:r>
      <w:r>
        <w:rPr>
          <w:spacing w:val="-75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>9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-13"/>
        </w:rPr>
        <w:t>月</w:t>
      </w:r>
      <w:r>
        <w:rPr>
          <w:spacing w:val="-77"/>
        </w:rPr>
        <w:t xml:space="preserve"> </w:t>
      </w:r>
      <w:r>
        <w:rPr>
          <w:rFonts w:ascii="Times New Roman" w:hAnsi="Times New Roman" w:eastAsia="Times New Roman" w:cs="Times New Roman"/>
          <w:spacing w:val="-13"/>
        </w:rPr>
        <w:t xml:space="preserve">30  </w:t>
      </w:r>
      <w:r>
        <w:rPr>
          <w:spacing w:val="-13"/>
        </w:rPr>
        <w:t>日；</w:t>
      </w:r>
    </w:p>
    <w:p w14:paraId="1B3A5C8C">
      <w:pPr>
        <w:pStyle w:val="2"/>
        <w:spacing w:before="220" w:line="219" w:lineRule="auto"/>
        <w:ind w:left="617"/>
      </w:pPr>
      <w:r>
        <w:rPr>
          <w:rFonts w:ascii="Times New Roman" w:hAnsi="Times New Roman" w:eastAsia="Times New Roman" w:cs="Times New Roman"/>
          <w:spacing w:val="-7"/>
        </w:rPr>
        <w:t>2.</w:t>
      </w:r>
      <w:r>
        <w:rPr>
          <w:rFonts w:ascii="Times New Roman" w:hAnsi="Times New Roman" w:eastAsia="Times New Roman" w:cs="Times New Roman"/>
          <w:spacing w:val="-23"/>
        </w:rPr>
        <w:t xml:space="preserve"> </w:t>
      </w:r>
      <w:r>
        <w:rPr>
          <w:spacing w:val="-7"/>
        </w:rPr>
        <w:t>比赛地点：线上；</w:t>
      </w:r>
    </w:p>
    <w:p w14:paraId="48BE67F3">
      <w:pPr>
        <w:pStyle w:val="2"/>
        <w:spacing w:before="220" w:line="218" w:lineRule="auto"/>
        <w:ind w:left="623"/>
      </w:pPr>
      <w:r>
        <w:rPr>
          <w:rFonts w:ascii="Times New Roman" w:hAnsi="Times New Roman" w:eastAsia="Times New Roman" w:cs="Times New Roman"/>
          <w:spacing w:val="-2"/>
        </w:rPr>
        <w:t>3.</w:t>
      </w:r>
      <w:r>
        <w:rPr>
          <w:spacing w:val="-2"/>
        </w:rPr>
        <w:t>参赛对象：各赛道各组别所有通过报名审核的团</w:t>
      </w:r>
      <w:r>
        <w:rPr>
          <w:spacing w:val="-3"/>
        </w:rPr>
        <w:t>队；</w:t>
      </w:r>
    </w:p>
    <w:p w14:paraId="1DF054B3">
      <w:pPr>
        <w:pStyle w:val="2"/>
        <w:spacing w:before="220" w:line="350" w:lineRule="auto"/>
        <w:ind w:left="6" w:right="90" w:firstLine="609"/>
      </w:pPr>
      <w:r>
        <w:rPr>
          <w:rFonts w:ascii="Times New Roman" w:hAnsi="Times New Roman" w:eastAsia="Times New Roman" w:cs="Times New Roman"/>
          <w:spacing w:val="-7"/>
        </w:rPr>
        <w:t>4.</w:t>
      </w:r>
      <w:r>
        <w:rPr>
          <w:spacing w:val="-7"/>
        </w:rPr>
        <w:t>材料提交：各参赛团队将封装参赛模型的镜像提交到大赛平台</w:t>
      </w:r>
      <w:r>
        <w:rPr>
          <w:spacing w:val="1"/>
        </w:rPr>
        <w:t>进行模型训练及推理测试，并提交与模型相关的技</w:t>
      </w:r>
      <w:r>
        <w:t>术报告等参赛材</w:t>
      </w:r>
      <w:r>
        <w:rPr>
          <w:spacing w:val="-2"/>
        </w:rPr>
        <w:t>料；</w:t>
      </w:r>
    </w:p>
    <w:p w14:paraId="001CD38B">
      <w:pPr>
        <w:pStyle w:val="2"/>
        <w:spacing w:before="1" w:line="350" w:lineRule="auto"/>
        <w:ind w:left="8" w:right="90" w:firstLine="617"/>
      </w:pPr>
      <w:r>
        <w:rPr>
          <w:rFonts w:ascii="Times New Roman" w:hAnsi="Times New Roman" w:eastAsia="Times New Roman" w:cs="Times New Roman"/>
          <w:spacing w:val="-7"/>
        </w:rPr>
        <w:t>5.</w:t>
      </w:r>
      <w:r>
        <w:rPr>
          <w:spacing w:val="-7"/>
        </w:rPr>
        <w:t>评审和公示：初赛评审采取线上模型推理测试</w:t>
      </w:r>
      <w:r>
        <w:rPr>
          <w:spacing w:val="-8"/>
        </w:rPr>
        <w:t>自动化评分结合</w:t>
      </w:r>
      <w:r>
        <w:rPr>
          <w:spacing w:val="1"/>
        </w:rPr>
        <w:t>专家评审（专家仅复核模型推理输出结果）的</w:t>
      </w:r>
      <w:r>
        <w:t>形式。其中自动化评</w:t>
      </w:r>
      <w:r>
        <w:rPr>
          <w:spacing w:val="1"/>
        </w:rPr>
        <w:t>分主要考核参赛模型的推理性能及效率，各参</w:t>
      </w:r>
      <w:r>
        <w:t>赛团队报名成功后可</w:t>
      </w:r>
    </w:p>
    <w:p w14:paraId="2AA64FD3">
      <w:pPr>
        <w:spacing w:line="350" w:lineRule="auto"/>
        <w:sectPr>
          <w:footerReference r:id="rId8" w:type="default"/>
          <w:pgSz w:w="11906" w:h="16839"/>
          <w:pgMar w:top="1431" w:right="1203" w:bottom="1136" w:left="1592" w:header="0" w:footer="764" w:gutter="0"/>
          <w:cols w:space="720" w:num="1"/>
        </w:sectPr>
      </w:pPr>
    </w:p>
    <w:p w14:paraId="2A87146B">
      <w:pPr>
        <w:pStyle w:val="2"/>
        <w:spacing w:before="182" w:line="339" w:lineRule="auto"/>
        <w:ind w:left="16" w:right="76" w:hanging="6"/>
      </w:pPr>
      <w:r>
        <w:t>从大赛官网下载初赛评分细则。主办方根据初赛综合成绩，确定晋</w:t>
      </w:r>
      <w:r>
        <w:rPr>
          <w:spacing w:val="-4"/>
        </w:rPr>
        <w:t>级团队名单并予以公示。</w:t>
      </w:r>
    </w:p>
    <w:p w14:paraId="4447C912">
      <w:pPr>
        <w:spacing w:before="1" w:line="221" w:lineRule="auto"/>
        <w:ind w:left="635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8"/>
          <w:sz w:val="31"/>
          <w:szCs w:val="31"/>
        </w:rPr>
        <w:t>（二）决赛</w:t>
      </w:r>
    </w:p>
    <w:p w14:paraId="591BE900">
      <w:pPr>
        <w:pStyle w:val="2"/>
        <w:spacing w:before="165" w:line="219" w:lineRule="auto"/>
        <w:ind w:left="644"/>
      </w:pPr>
      <w:r>
        <w:rPr>
          <w:rFonts w:ascii="Times New Roman" w:hAnsi="Times New Roman" w:eastAsia="Times New Roman" w:cs="Times New Roman"/>
          <w:spacing w:val="-9"/>
        </w:rPr>
        <w:t>1.</w:t>
      </w:r>
      <w:r>
        <w:rPr>
          <w:rFonts w:ascii="Times New Roman" w:hAnsi="Times New Roman" w:eastAsia="Times New Roman" w:cs="Times New Roman"/>
          <w:spacing w:val="-26"/>
        </w:rPr>
        <w:t xml:space="preserve"> </w:t>
      </w:r>
      <w:r>
        <w:rPr>
          <w:spacing w:val="-9"/>
        </w:rPr>
        <w:t>时间：</w:t>
      </w:r>
      <w:r>
        <w:rPr>
          <w:rFonts w:ascii="Times New Roman" w:hAnsi="Times New Roman" w:eastAsia="Times New Roman" w:cs="Times New Roman"/>
          <w:spacing w:val="-9"/>
        </w:rPr>
        <w:t xml:space="preserve">2026 </w:t>
      </w:r>
      <w:r>
        <w:rPr>
          <w:spacing w:val="-9"/>
        </w:rPr>
        <w:t>年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-9"/>
        </w:rPr>
        <w:t>10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9"/>
        </w:rPr>
        <w:t>月中旬；</w:t>
      </w:r>
    </w:p>
    <w:p w14:paraId="44F568EC">
      <w:pPr>
        <w:pStyle w:val="2"/>
        <w:spacing w:before="169" w:line="219" w:lineRule="auto"/>
        <w:ind w:left="613"/>
      </w:pPr>
      <w:r>
        <w:rPr>
          <w:rFonts w:ascii="Times New Roman" w:hAnsi="Times New Roman" w:eastAsia="Times New Roman" w:cs="Times New Roman"/>
          <w:spacing w:val="-7"/>
        </w:rPr>
        <w:t>2.</w:t>
      </w:r>
      <w:r>
        <w:rPr>
          <w:rFonts w:ascii="Times New Roman" w:hAnsi="Times New Roman" w:eastAsia="Times New Roman" w:cs="Times New Roman"/>
          <w:spacing w:val="-12"/>
        </w:rPr>
        <w:t xml:space="preserve"> </w:t>
      </w:r>
      <w:r>
        <w:rPr>
          <w:spacing w:val="-7"/>
        </w:rPr>
        <w:t>比赛地点：广西南宁；</w:t>
      </w:r>
    </w:p>
    <w:p w14:paraId="41AEE434">
      <w:pPr>
        <w:pStyle w:val="2"/>
        <w:spacing w:before="170" w:line="218" w:lineRule="auto"/>
        <w:jc w:val="right"/>
      </w:pPr>
      <w:r>
        <w:rPr>
          <w:rFonts w:ascii="Times New Roman" w:hAnsi="Times New Roman" w:eastAsia="Times New Roman" w:cs="Times New Roman"/>
          <w:spacing w:val="-5"/>
        </w:rPr>
        <w:t>3.</w:t>
      </w:r>
      <w:r>
        <w:rPr>
          <w:spacing w:val="-5"/>
        </w:rPr>
        <w:t>参赛对象：各赛道各组别初赛综合成绩排名靠前的若</w:t>
      </w:r>
      <w:r>
        <w:rPr>
          <w:spacing w:val="-6"/>
        </w:rPr>
        <w:t>干团队；</w:t>
      </w:r>
    </w:p>
    <w:p w14:paraId="495D95AB">
      <w:pPr>
        <w:pStyle w:val="2"/>
        <w:spacing w:before="172" w:line="319" w:lineRule="auto"/>
        <w:ind w:left="7" w:right="76" w:firstLine="604"/>
      </w:pPr>
      <w:r>
        <w:rPr>
          <w:rFonts w:ascii="Times New Roman" w:hAnsi="Times New Roman" w:eastAsia="Times New Roman" w:cs="Times New Roman"/>
          <w:spacing w:val="-7"/>
        </w:rPr>
        <w:t>4.</w:t>
      </w:r>
      <w:r>
        <w:rPr>
          <w:spacing w:val="-7"/>
        </w:rPr>
        <w:t>材料提交：决赛演示文稿、系统部署方案、临床与工程验证资</w:t>
      </w:r>
      <w:r>
        <w:rPr>
          <w:spacing w:val="-3"/>
        </w:rPr>
        <w:t>料（如有）等材料；</w:t>
      </w:r>
    </w:p>
    <w:p w14:paraId="0C44503E">
      <w:pPr>
        <w:pStyle w:val="2"/>
        <w:spacing w:before="7" w:line="319" w:lineRule="auto"/>
        <w:ind w:left="12" w:firstLine="609"/>
      </w:pPr>
      <w:r>
        <w:rPr>
          <w:rFonts w:ascii="Times New Roman" w:hAnsi="Times New Roman" w:eastAsia="Times New Roman" w:cs="Times New Roman"/>
          <w:spacing w:val="-7"/>
        </w:rPr>
        <w:t>5.</w:t>
      </w:r>
      <w:r>
        <w:rPr>
          <w:spacing w:val="-7"/>
        </w:rPr>
        <w:t>评审和公示：决赛评审采取线下集中答辩与专</w:t>
      </w:r>
      <w:r>
        <w:rPr>
          <w:spacing w:val="-8"/>
        </w:rPr>
        <w:t>家综合打分的形</w:t>
      </w:r>
      <w:r>
        <w:rPr>
          <w:spacing w:val="-3"/>
        </w:rPr>
        <w:t>式逐一对各赛道各组别的参赛团队开展评审（主要评审模型性能效</w:t>
      </w:r>
      <w:r>
        <w:rPr>
          <w:spacing w:val="-4"/>
        </w:rPr>
        <w:t>率、创新与鲁棒性、临床价值与可解释性以及工程化</w:t>
      </w:r>
      <w:r>
        <w:rPr>
          <w:spacing w:val="-5"/>
        </w:rPr>
        <w:t>与推广潜力</w:t>
      </w:r>
      <w:r>
        <w:rPr>
          <w:spacing w:val="-52"/>
        </w:rPr>
        <w:t>），</w:t>
      </w:r>
      <w:r>
        <w:rPr>
          <w:spacing w:val="-3"/>
        </w:rPr>
        <w:t>主办方将在规定时间内对决赛获奖团队进行公示。</w:t>
      </w:r>
    </w:p>
    <w:p w14:paraId="057AECF8">
      <w:pPr>
        <w:spacing w:before="5" w:line="227" w:lineRule="auto"/>
        <w:ind w:left="6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八、奖项设置</w:t>
      </w:r>
    </w:p>
    <w:p w14:paraId="2193A381">
      <w:pPr>
        <w:pStyle w:val="2"/>
        <w:spacing w:before="198" w:line="349" w:lineRule="auto"/>
        <w:ind w:right="153" w:firstLine="633"/>
      </w:pPr>
      <w:r>
        <w:rPr>
          <w:spacing w:val="-3"/>
        </w:rPr>
        <w:t>大赛设置若干奖项，主办方将为每个获奖团队颁发获奖证书，</w:t>
      </w:r>
      <w:r>
        <w:rPr>
          <w:spacing w:val="-2"/>
        </w:rPr>
        <w:t>提供成果展示、合作对接及转化孵化等配套支持。</w:t>
      </w:r>
    </w:p>
    <w:p w14:paraId="004716FF">
      <w:pPr>
        <w:pStyle w:val="2"/>
        <w:spacing w:before="1" w:line="350" w:lineRule="auto"/>
        <w:ind w:left="6" w:right="76" w:firstLine="612"/>
        <w:jc w:val="both"/>
      </w:pPr>
      <w:r>
        <w:rPr>
          <w:spacing w:val="1"/>
        </w:rPr>
        <w:t>初赛阶段，将根据各参赛团队综合成绩，在各赛道、各组</w:t>
      </w:r>
      <w:r>
        <w:t>别评出一等奖、二、三等奖若干。同时，大赛设置单项奖，评审委员会将面向各赛道、各组别参赛团队，围绕技术水平、临床价值、基层应用潜力和东盟应用潜力等维度进行综合评议，评选最佳技术创新</w:t>
      </w:r>
      <w:r>
        <w:rPr>
          <w:spacing w:val="-2"/>
        </w:rPr>
        <w:t>奖、最具临床价值奖等单项奖若干。</w:t>
      </w:r>
      <w:r>
        <w:rPr>
          <w:spacing w:val="-79"/>
        </w:rPr>
        <w:t xml:space="preserve"> </w:t>
      </w:r>
      <w:r>
        <w:rPr>
          <w:spacing w:val="-2"/>
        </w:rPr>
        <w:t>已获得一、二、三等奖的参赛</w:t>
      </w:r>
      <w:r>
        <w:rPr>
          <w:spacing w:val="-3"/>
        </w:rPr>
        <w:t>团队仍可参与单项奖评审。</w:t>
      </w:r>
    </w:p>
    <w:p w14:paraId="016E28BA">
      <w:pPr>
        <w:pStyle w:val="2"/>
        <w:spacing w:before="4" w:line="338" w:lineRule="auto"/>
        <w:ind w:left="1" w:right="76" w:firstLine="625"/>
      </w:pPr>
      <w:r>
        <w:t>决赛阶段，将依据参赛团队决赛总得分排名，在各赛道、各组</w:t>
      </w:r>
      <w:r>
        <w:rPr>
          <w:spacing w:val="-5"/>
        </w:rPr>
        <w:t>别评出冠军</w:t>
      </w:r>
      <w:r>
        <w:rPr>
          <w:spacing w:val="-38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1 </w:t>
      </w:r>
      <w:r>
        <w:rPr>
          <w:spacing w:val="-5"/>
        </w:rPr>
        <w:t>支团队、亚军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1 </w:t>
      </w:r>
      <w:r>
        <w:rPr>
          <w:spacing w:val="-5"/>
        </w:rPr>
        <w:t>支团队、季军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1 </w:t>
      </w:r>
      <w:r>
        <w:rPr>
          <w:spacing w:val="-5"/>
        </w:rPr>
        <w:t>支团队。</w:t>
      </w:r>
    </w:p>
    <w:p w14:paraId="582C4D58">
      <w:pPr>
        <w:spacing w:before="1" w:line="227" w:lineRule="auto"/>
        <w:ind w:left="65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九、大赛数据</w:t>
      </w:r>
    </w:p>
    <w:p w14:paraId="7A87734A">
      <w:pPr>
        <w:spacing w:line="227" w:lineRule="auto"/>
        <w:rPr>
          <w:rFonts w:ascii="黑体" w:hAnsi="黑体" w:eastAsia="黑体" w:cs="黑体"/>
          <w:sz w:val="31"/>
          <w:szCs w:val="31"/>
        </w:rPr>
        <w:sectPr>
          <w:footerReference r:id="rId9" w:type="default"/>
          <w:pgSz w:w="11906" w:h="16839"/>
          <w:pgMar w:top="1431" w:right="1216" w:bottom="1136" w:left="1596" w:header="0" w:footer="768" w:gutter="0"/>
          <w:cols w:space="720" w:num="1"/>
        </w:sectPr>
      </w:pPr>
    </w:p>
    <w:p w14:paraId="76300E57">
      <w:pPr>
        <w:pStyle w:val="2"/>
        <w:spacing w:before="185" w:line="350" w:lineRule="auto"/>
        <w:ind w:right="90" w:firstLine="620"/>
        <w:jc w:val="both"/>
      </w:pPr>
      <w:r>
        <w:rPr>
          <w:spacing w:val="1"/>
        </w:rPr>
        <w:t>每个赛道均由主办方统一提供经专业医疗专家团队审核标</w:t>
      </w:r>
      <w:r>
        <w:t>注，</w:t>
      </w:r>
      <w:r>
        <w:rPr>
          <w:spacing w:val="-5"/>
        </w:rPr>
        <w:t>涵盖阳性与阴性病例的医学影像数据集，全面支撑医学影像</w:t>
      </w:r>
      <w:r>
        <w:rPr>
          <w:spacing w:val="-69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AI </w:t>
      </w:r>
      <w:r>
        <w:rPr>
          <w:spacing w:val="-5"/>
        </w:rPr>
        <w:t>模型</w:t>
      </w:r>
      <w:r>
        <w:rPr>
          <w:spacing w:val="1"/>
        </w:rPr>
        <w:t>训练评测。所有数据均完成标准化脱敏与隐私保护处理且无</w:t>
      </w:r>
      <w:r>
        <w:t>法逆向</w:t>
      </w:r>
      <w:r>
        <w:rPr>
          <w:spacing w:val="1"/>
        </w:rPr>
        <w:t>溯源，严格遵守《中华人民共和国个人信息保护法》《中华</w:t>
      </w:r>
      <w:r>
        <w:t>人民共</w:t>
      </w:r>
      <w:r>
        <w:rPr>
          <w:spacing w:val="1"/>
        </w:rPr>
        <w:t>和国数据安全法》等相关法律法规，全程在安全可控的专属</w:t>
      </w:r>
      <w:r>
        <w:t>环境中</w:t>
      </w:r>
      <w:r>
        <w:rPr>
          <w:spacing w:val="-1"/>
        </w:rPr>
        <w:t>使用。</w:t>
      </w:r>
    </w:p>
    <w:p w14:paraId="21AE2F09">
      <w:pPr>
        <w:pStyle w:val="2"/>
        <w:spacing w:before="1" w:line="342" w:lineRule="auto"/>
        <w:ind w:left="13" w:right="90" w:firstLine="620"/>
      </w:pPr>
      <w:r>
        <w:t>主办方将在大赛官网发布数据相关目录，参赛团队仅可在大赛专属环境中使用数据开展模型训练及测试，不得进行截图、拍照、</w:t>
      </w:r>
      <w:r>
        <w:rPr>
          <w:spacing w:val="-3"/>
        </w:rPr>
        <w:t>录像等任何形式的传播操作。</w:t>
      </w:r>
    </w:p>
    <w:p w14:paraId="7DE1005A">
      <w:pPr>
        <w:spacing w:before="1" w:line="227" w:lineRule="auto"/>
        <w:ind w:left="648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十、大赛激励</w:t>
      </w:r>
    </w:p>
    <w:p w14:paraId="58A981BE">
      <w:pPr>
        <w:pStyle w:val="2"/>
        <w:spacing w:before="194" w:line="221" w:lineRule="auto"/>
        <w:ind w:left="645"/>
      </w:pPr>
      <w:r>
        <w:rPr>
          <w:rFonts w:ascii="Times New Roman" w:hAnsi="Times New Roman" w:eastAsia="Times New Roman" w:cs="Times New Roman"/>
          <w:spacing w:val="-7"/>
        </w:rPr>
        <w:t>1.</w:t>
      </w:r>
      <w:r>
        <w:rPr>
          <w:spacing w:val="-7"/>
        </w:rPr>
        <w:t>成果转化</w:t>
      </w:r>
    </w:p>
    <w:p w14:paraId="534D1ED8">
      <w:pPr>
        <w:pStyle w:val="2"/>
        <w:spacing w:before="214" w:line="350" w:lineRule="auto"/>
        <w:ind w:left="3" w:right="6" w:firstLine="624"/>
      </w:pPr>
      <w:r>
        <w:t>支持优秀获奖成果在广西壮族自治区注册落地，按照有关规定</w:t>
      </w:r>
      <w:r>
        <w:rPr>
          <w:spacing w:val="1"/>
        </w:rPr>
        <w:t>优先纳入新增或修订广西医疗服务价格目录；优先</w:t>
      </w:r>
      <w:r>
        <w:t>在广西区内三级</w:t>
      </w:r>
      <w:r>
        <w:rPr>
          <w:spacing w:val="1"/>
        </w:rPr>
        <w:t>定点医疗机构推广；优先纳入后续开发的应用场景</w:t>
      </w:r>
      <w:r>
        <w:t>对接名单，推动</w:t>
      </w:r>
      <w:r>
        <w:rPr>
          <w:spacing w:val="-7"/>
        </w:rPr>
        <w:t>其在真实场景中验证应用；给予一定数额的成果转化专项经费支持。</w:t>
      </w:r>
    </w:p>
    <w:p w14:paraId="143C7841">
      <w:pPr>
        <w:pStyle w:val="2"/>
        <w:spacing w:before="4" w:line="218" w:lineRule="auto"/>
        <w:ind w:left="614"/>
      </w:pPr>
      <w:r>
        <w:rPr>
          <w:rFonts w:ascii="Times New Roman" w:hAnsi="Times New Roman" w:eastAsia="Times New Roman" w:cs="Times New Roman"/>
          <w:spacing w:val="-1"/>
        </w:rPr>
        <w:t>2.</w:t>
      </w:r>
      <w:r>
        <w:rPr>
          <w:spacing w:val="-1"/>
        </w:rPr>
        <w:t>政策对接</w:t>
      </w:r>
    </w:p>
    <w:p w14:paraId="0641AB58">
      <w:pPr>
        <w:pStyle w:val="2"/>
        <w:spacing w:before="222" w:line="218" w:lineRule="auto"/>
        <w:ind w:left="620"/>
      </w:pPr>
      <w:r>
        <w:rPr>
          <w:spacing w:val="-2"/>
        </w:rPr>
        <w:t>优秀获奖项目可获得场地、资金、人才等政策支持。</w:t>
      </w:r>
    </w:p>
    <w:p w14:paraId="63BF9706">
      <w:pPr>
        <w:pStyle w:val="2"/>
        <w:spacing w:before="221" w:line="219" w:lineRule="auto"/>
        <w:ind w:left="621"/>
      </w:pPr>
      <w:r>
        <w:rPr>
          <w:rFonts w:ascii="Times New Roman" w:hAnsi="Times New Roman" w:eastAsia="Times New Roman" w:cs="Times New Roman"/>
          <w:spacing w:val="-2"/>
        </w:rPr>
        <w:t>3.</w:t>
      </w:r>
      <w:r>
        <w:rPr>
          <w:spacing w:val="-2"/>
        </w:rPr>
        <w:t>生态培育</w:t>
      </w:r>
    </w:p>
    <w:p w14:paraId="3FF54D18">
      <w:pPr>
        <w:pStyle w:val="2"/>
        <w:spacing w:before="222" w:line="338" w:lineRule="auto"/>
        <w:ind w:left="3" w:right="90" w:firstLine="616"/>
      </w:pPr>
      <w:r>
        <w:rPr>
          <w:spacing w:val="1"/>
        </w:rPr>
        <w:t>优秀获奖团队将获邀参加医学影像产业对接会，深化与广</w:t>
      </w:r>
      <w:r>
        <w:t>西医</w:t>
      </w:r>
      <w:r>
        <w:rPr>
          <w:spacing w:val="-3"/>
        </w:rPr>
        <w:t>疗机构合作。</w:t>
      </w:r>
    </w:p>
    <w:p w14:paraId="120DA674">
      <w:pPr>
        <w:spacing w:line="227" w:lineRule="auto"/>
        <w:ind w:left="6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十一、其他事项</w:t>
      </w:r>
    </w:p>
    <w:p w14:paraId="36CD604D">
      <w:pPr>
        <w:spacing w:before="157" w:line="220" w:lineRule="auto"/>
        <w:ind w:left="636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（一）知识产权</w:t>
      </w:r>
    </w:p>
    <w:p w14:paraId="2270AC43">
      <w:pPr>
        <w:pStyle w:val="2"/>
        <w:spacing w:before="211" w:line="339" w:lineRule="auto"/>
        <w:ind w:left="17" w:firstLine="627"/>
      </w:pPr>
      <w:r>
        <w:rPr>
          <w:rFonts w:ascii="Times New Roman" w:hAnsi="Times New Roman" w:eastAsia="Times New Roman" w:cs="Times New Roman"/>
          <w:spacing w:val="-12"/>
        </w:rPr>
        <w:t>1.</w:t>
      </w:r>
      <w:r>
        <w:rPr>
          <w:spacing w:val="-12"/>
        </w:rPr>
        <w:t>主办方对在本次竞赛中所提供的所有数据、信息、软件、</w:t>
      </w:r>
      <w:r>
        <w:rPr>
          <w:rFonts w:ascii="Times New Roman" w:hAnsi="Times New Roman" w:eastAsia="Times New Roman" w:cs="Times New Roman"/>
          <w:spacing w:val="-12"/>
        </w:rPr>
        <w:t>logo</w:t>
      </w:r>
      <w:r>
        <w:rPr>
          <w:spacing w:val="-12"/>
        </w:rPr>
        <w:t>、</w:t>
      </w:r>
      <w:r>
        <w:rPr>
          <w:spacing w:val="-4"/>
        </w:rPr>
        <w:t>商标等均享有合法权益。</w:t>
      </w:r>
    </w:p>
    <w:p w14:paraId="55F21701">
      <w:pPr>
        <w:spacing w:line="339" w:lineRule="auto"/>
        <w:sectPr>
          <w:footerReference r:id="rId10" w:type="default"/>
          <w:pgSz w:w="11906" w:h="16839"/>
          <w:pgMar w:top="1431" w:right="1203" w:bottom="1136" w:left="1595" w:header="0" w:footer="768" w:gutter="0"/>
          <w:cols w:space="720" w:num="1"/>
        </w:sectPr>
      </w:pPr>
    </w:p>
    <w:p w14:paraId="762DB379">
      <w:pPr>
        <w:pStyle w:val="2"/>
        <w:spacing w:before="181" w:line="350" w:lineRule="auto"/>
        <w:ind w:right="76" w:firstLine="618"/>
      </w:pPr>
      <w:r>
        <w:rPr>
          <w:rFonts w:ascii="Times New Roman" w:hAnsi="Times New Roman" w:eastAsia="Times New Roman" w:cs="Times New Roman"/>
          <w:spacing w:val="3"/>
        </w:rPr>
        <w:t>2.</w:t>
      </w:r>
      <w:r>
        <w:rPr>
          <w:rFonts w:ascii="Times New Roman" w:hAnsi="Times New Roman" w:eastAsia="Times New Roman" w:cs="Times New Roman"/>
          <w:spacing w:val="-45"/>
        </w:rPr>
        <w:t xml:space="preserve"> </w:t>
      </w:r>
      <w:r>
        <w:rPr>
          <w:spacing w:val="3"/>
        </w:rPr>
        <w:t>除双方另有约定外，参赛团队在比赛过程</w:t>
      </w:r>
      <w:r>
        <w:rPr>
          <w:spacing w:val="2"/>
        </w:rPr>
        <w:t>中独立开发的成果</w:t>
      </w:r>
      <w:r>
        <w:rPr>
          <w:spacing w:val="1"/>
        </w:rPr>
        <w:t>（包括但不限于算法、代码、技术报告、演示文稿等</w:t>
      </w:r>
      <w:r>
        <w:rPr>
          <w:spacing w:val="2"/>
        </w:rPr>
        <w:t>），</w:t>
      </w:r>
      <w:r>
        <w:rPr>
          <w:spacing w:val="1"/>
        </w:rPr>
        <w:t>其知</w:t>
      </w:r>
      <w:r>
        <w:t>识产</w:t>
      </w:r>
      <w:r>
        <w:rPr>
          <w:spacing w:val="-2"/>
        </w:rPr>
        <w:t>权（含著作权、专利申请权等）归团队所有。</w:t>
      </w:r>
    </w:p>
    <w:p w14:paraId="27AC269B">
      <w:pPr>
        <w:pStyle w:val="2"/>
        <w:spacing w:before="1" w:line="344" w:lineRule="auto"/>
        <w:ind w:left="14" w:firstLine="611"/>
      </w:pPr>
      <w:r>
        <w:rPr>
          <w:rFonts w:ascii="Times New Roman" w:hAnsi="Times New Roman" w:eastAsia="Times New Roman" w:cs="Times New Roman"/>
          <w:spacing w:val="3"/>
        </w:rPr>
        <w:t>3.</w:t>
      </w:r>
      <w:r>
        <w:rPr>
          <w:spacing w:val="3"/>
        </w:rPr>
        <w:t>参赛团队应保证参赛行为和参赛过程不得侵犯或非法使用第</w:t>
      </w:r>
      <w:r>
        <w:rPr>
          <w:spacing w:val="-7"/>
        </w:rPr>
        <w:t>三方的知识产权等，如发生第三方向主办方提出索赔</w:t>
      </w:r>
      <w:r>
        <w:rPr>
          <w:spacing w:val="-8"/>
        </w:rPr>
        <w:t>、诉讼等事项，</w:t>
      </w:r>
      <w:r>
        <w:t>参赛团队应独立负责解决、承担主办方由此产生的全部损失并消除</w:t>
      </w:r>
      <w:r>
        <w:rPr>
          <w:spacing w:val="-3"/>
        </w:rPr>
        <w:t>因此造成的不利影响。</w:t>
      </w:r>
    </w:p>
    <w:p w14:paraId="58B646CB">
      <w:pPr>
        <w:spacing w:line="221" w:lineRule="auto"/>
        <w:ind w:left="64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（二）参赛费用</w:t>
      </w:r>
    </w:p>
    <w:p w14:paraId="20AF0EFC">
      <w:pPr>
        <w:pStyle w:val="2"/>
        <w:spacing w:before="207" w:line="342" w:lineRule="auto"/>
        <w:ind w:left="7" w:right="76" w:firstLine="630"/>
        <w:jc w:val="both"/>
      </w:pPr>
      <w:r>
        <w:t>大赛报名、评审、宣传报道等不收取任何费用。参赛团队需自</w:t>
      </w:r>
      <w:r>
        <w:rPr>
          <w:spacing w:val="1"/>
        </w:rPr>
        <w:t>行承担参赛过程中产生的交通、食宿、视频制作、</w:t>
      </w:r>
      <w:r>
        <w:t>场景搭建、展品</w:t>
      </w:r>
      <w:r>
        <w:rPr>
          <w:spacing w:val="-3"/>
        </w:rPr>
        <w:t>制作等费用。</w:t>
      </w:r>
    </w:p>
    <w:p w14:paraId="2834AE16">
      <w:pPr>
        <w:spacing w:line="221" w:lineRule="auto"/>
        <w:ind w:left="64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（三）参赛语言</w:t>
      </w:r>
    </w:p>
    <w:p w14:paraId="20BA8D12">
      <w:pPr>
        <w:pStyle w:val="2"/>
        <w:spacing w:before="211" w:line="337" w:lineRule="auto"/>
        <w:ind w:left="14" w:right="76" w:firstLine="624"/>
      </w:pPr>
      <w:r>
        <w:t>大赛官方语言为中文，参赛团队可选择全程使用中文或者英文</w:t>
      </w:r>
      <w:r>
        <w:rPr>
          <w:spacing w:val="-3"/>
        </w:rPr>
        <w:t>参赛，参赛期间语言一经选定不得变更。</w:t>
      </w:r>
    </w:p>
    <w:p w14:paraId="013468DC">
      <w:pPr>
        <w:spacing w:line="220" w:lineRule="auto"/>
        <w:ind w:left="64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（四）赛事信息查阅</w:t>
      </w:r>
    </w:p>
    <w:p w14:paraId="23456C02">
      <w:pPr>
        <w:pStyle w:val="2"/>
        <w:spacing w:before="212" w:line="338" w:lineRule="auto"/>
        <w:ind w:left="21" w:right="76" w:firstLine="609"/>
      </w:pPr>
      <w:r>
        <w:rPr>
          <w:spacing w:val="1"/>
        </w:rPr>
        <w:t>参赛团队可在大赛官方网站查阅参赛手册、</w:t>
      </w:r>
      <w:r>
        <w:t>评分标准及赛事相</w:t>
      </w:r>
      <w:r>
        <w:rPr>
          <w:spacing w:val="-6"/>
        </w:rPr>
        <w:t>关安排。</w:t>
      </w:r>
    </w:p>
    <w:p w14:paraId="2AEAB279">
      <w:pPr>
        <w:spacing w:before="2" w:line="226" w:lineRule="auto"/>
        <w:ind w:left="64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（五）问题咨询</w:t>
      </w:r>
    </w:p>
    <w:p w14:paraId="1F9B29D6">
      <w:pPr>
        <w:pStyle w:val="2"/>
        <w:spacing w:before="197" w:line="217" w:lineRule="auto"/>
        <w:ind w:left="638"/>
        <w:rPr>
          <w:rFonts w:ascii="Times New Roman" w:hAnsi="Times New Roman" w:eastAsia="Times New Roman" w:cs="Times New Roman"/>
        </w:rPr>
      </w:pPr>
      <w:r>
        <w:rPr>
          <w:spacing w:val="-3"/>
        </w:rPr>
        <w:t>大赛咨询邮箱：</w:t>
      </w:r>
      <w:r>
        <w:fldChar w:fldCharType="begin"/>
      </w:r>
      <w:r>
        <w:instrText xml:space="preserve"> HYPERLINK "contact@ybystds.com"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3"/>
        </w:rPr>
        <w:t>contact@ybystds.com</w:t>
      </w:r>
      <w:r>
        <w:rPr>
          <w:rFonts w:ascii="Times New Roman" w:hAnsi="Times New Roman" w:eastAsia="Times New Roman" w:cs="Times New Roman"/>
          <w:spacing w:val="-3"/>
        </w:rPr>
        <w:fldChar w:fldCharType="end"/>
      </w:r>
    </w:p>
    <w:p w14:paraId="1692D423">
      <w:pPr>
        <w:pStyle w:val="2"/>
        <w:spacing w:before="183" w:line="219" w:lineRule="auto"/>
        <w:ind w:left="638"/>
      </w:pPr>
      <w:r>
        <w:rPr>
          <w:spacing w:val="-4"/>
        </w:rPr>
        <w:t>大赛联系电话：</w:t>
      </w:r>
      <w:r>
        <w:rPr>
          <w:spacing w:val="62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1. 0771-5601652</w:t>
      </w:r>
      <w:r>
        <w:rPr>
          <w:spacing w:val="-4"/>
        </w:rPr>
        <w:t>（报名咨询）</w:t>
      </w:r>
    </w:p>
    <w:p w14:paraId="29348215">
      <w:pPr>
        <w:pStyle w:val="2"/>
        <w:spacing w:before="170" w:line="219" w:lineRule="auto"/>
        <w:ind w:left="2970"/>
      </w:pPr>
      <w:r>
        <w:rPr>
          <w:rFonts w:ascii="Times New Roman" w:hAnsi="Times New Roman" w:eastAsia="Times New Roman" w:cs="Times New Roman"/>
          <w:spacing w:val="-2"/>
        </w:rPr>
        <w:t>2. 0771-5601656</w:t>
      </w:r>
      <w:r>
        <w:rPr>
          <w:spacing w:val="-2"/>
        </w:rPr>
        <w:t>（报名咨询）</w:t>
      </w:r>
    </w:p>
    <w:p w14:paraId="739BCE6C">
      <w:pPr>
        <w:pStyle w:val="2"/>
        <w:spacing w:before="172" w:line="219" w:lineRule="auto"/>
        <w:ind w:left="2977"/>
      </w:pPr>
      <w:r>
        <w:rPr>
          <w:rFonts w:ascii="Times New Roman" w:hAnsi="Times New Roman" w:eastAsia="Times New Roman" w:cs="Times New Roman"/>
          <w:spacing w:val="-2"/>
        </w:rPr>
        <w:t>3. 0771-5601660</w:t>
      </w:r>
      <w:r>
        <w:rPr>
          <w:spacing w:val="-2"/>
        </w:rPr>
        <w:t>（赛道及专业技术咨询）</w:t>
      </w:r>
    </w:p>
    <w:p w14:paraId="02E66C72">
      <w:pPr>
        <w:pStyle w:val="2"/>
        <w:spacing w:before="171" w:line="222" w:lineRule="auto"/>
        <w:ind w:left="632"/>
        <w:rPr>
          <w:rFonts w:ascii="Times New Roman" w:hAnsi="Times New Roman" w:eastAsia="Times New Roman" w:cs="Times New Roman"/>
        </w:rPr>
      </w:pPr>
      <w:r>
        <w:rPr>
          <w:spacing w:val="-6"/>
        </w:rPr>
        <w:t>工作日</w:t>
      </w:r>
      <w:r>
        <w:rPr>
          <w:spacing w:val="-59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8:00-12:00</w:t>
      </w:r>
      <w:r>
        <w:rPr>
          <w:rFonts w:ascii="Times New Roman" w:hAnsi="Times New Roman" w:eastAsia="Times New Roman" w:cs="Times New Roman"/>
          <w:spacing w:val="-38"/>
        </w:rPr>
        <w:t xml:space="preserve"> </w:t>
      </w:r>
      <w:r>
        <w:rPr>
          <w:spacing w:val="-6"/>
        </w:rPr>
        <w:t>，</w:t>
      </w:r>
      <w:r>
        <w:rPr>
          <w:rFonts w:ascii="Times New Roman" w:hAnsi="Times New Roman" w:eastAsia="Times New Roman" w:cs="Times New Roman"/>
          <w:spacing w:val="-6"/>
        </w:rPr>
        <w:t>15:00-</w:t>
      </w:r>
      <w:r>
        <w:rPr>
          <w:rFonts w:ascii="Times New Roman" w:hAnsi="Times New Roman" w:eastAsia="Times New Roman" w:cs="Times New Roman"/>
          <w:spacing w:val="-45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18:00</w:t>
      </w:r>
    </w:p>
    <w:p w14:paraId="277ABE49">
      <w:pPr>
        <w:pStyle w:val="2"/>
        <w:spacing w:before="204" w:line="219" w:lineRule="auto"/>
        <w:ind w:left="631"/>
      </w:pPr>
      <w:r>
        <w:rPr>
          <w:spacing w:val="1"/>
        </w:rPr>
        <w:t>参赛团队可登录大赛官方网站的用户页面，</w:t>
      </w:r>
      <w:r>
        <w:t>使用站内信向主办</w:t>
      </w:r>
    </w:p>
    <w:p w14:paraId="134C1D87">
      <w:pPr>
        <w:spacing w:line="219" w:lineRule="auto"/>
        <w:sectPr>
          <w:footerReference r:id="rId11" w:type="default"/>
          <w:pgSz w:w="11906" w:h="16839"/>
          <w:pgMar w:top="1431" w:right="1216" w:bottom="1136" w:left="1590" w:header="0" w:footer="764" w:gutter="0"/>
          <w:cols w:space="720" w:num="1"/>
        </w:sectPr>
      </w:pPr>
    </w:p>
    <w:p w14:paraId="4FF818AB">
      <w:pPr>
        <w:pStyle w:val="2"/>
        <w:spacing w:before="183" w:line="219" w:lineRule="auto"/>
      </w:pPr>
      <w:r>
        <w:rPr>
          <w:spacing w:val="-2"/>
        </w:rPr>
        <w:t>方咨询并提出意见建议。主办方将统一收集、研究</w:t>
      </w:r>
      <w:r>
        <w:rPr>
          <w:spacing w:val="-3"/>
        </w:rPr>
        <w:t>并合理采纳。</w:t>
      </w:r>
    </w:p>
    <w:p w14:paraId="43B10195">
      <w:pPr>
        <w:pStyle w:val="2"/>
        <w:spacing w:before="221" w:line="349" w:lineRule="auto"/>
        <w:ind w:left="22" w:firstLine="599"/>
      </w:pPr>
      <w:r>
        <w:t>为保证赛事质量，主办方保留进一步调整大赛规程及奖项设置</w:t>
      </w:r>
      <w:r>
        <w:rPr>
          <w:spacing w:val="-4"/>
        </w:rPr>
        <w:t>的权利。赛事相关事宜最终解释权归主办方所有。</w:t>
      </w:r>
    </w:p>
    <w:p w14:paraId="39B2DD96">
      <w:pPr>
        <w:spacing w:line="310" w:lineRule="auto"/>
        <w:rPr>
          <w:rFonts w:ascii="Arial"/>
          <w:sz w:val="21"/>
        </w:rPr>
      </w:pPr>
    </w:p>
    <w:p w14:paraId="1913755C">
      <w:pPr>
        <w:spacing w:line="311" w:lineRule="auto"/>
        <w:rPr>
          <w:rFonts w:ascii="Arial"/>
          <w:sz w:val="21"/>
        </w:rPr>
      </w:pPr>
    </w:p>
    <w:p w14:paraId="386D7C2C">
      <w:pPr>
        <w:spacing w:line="311" w:lineRule="auto"/>
        <w:rPr>
          <w:rFonts w:ascii="Arial"/>
          <w:sz w:val="21"/>
        </w:rPr>
      </w:pPr>
    </w:p>
    <w:p w14:paraId="7F30787D">
      <w:pPr>
        <w:pStyle w:val="2"/>
        <w:spacing w:before="101" w:line="219" w:lineRule="auto"/>
        <w:ind w:left="4246"/>
      </w:pPr>
      <w:r>
        <w:rPr>
          <w:spacing w:val="-6"/>
        </w:rPr>
        <w:t>医保影像</w:t>
      </w:r>
      <w:r>
        <w:rPr>
          <w:spacing w:val="-84"/>
        </w:rPr>
        <w:t xml:space="preserve"> </w:t>
      </w:r>
      <w:r>
        <w:rPr>
          <w:rFonts w:ascii="Times New Roman" w:hAnsi="Times New Roman" w:eastAsia="Times New Roman" w:cs="Times New Roman"/>
          <w:spacing w:val="-6"/>
        </w:rPr>
        <w:t>AI</w:t>
      </w:r>
      <w:r>
        <w:rPr>
          <w:rFonts w:ascii="Times New Roman" w:hAnsi="Times New Roman" w:eastAsia="Times New Roman" w:cs="Times New Roman"/>
          <w:spacing w:val="22"/>
        </w:rPr>
        <w:t xml:space="preserve"> </w:t>
      </w:r>
      <w:r>
        <w:rPr>
          <w:spacing w:val="-6"/>
        </w:rPr>
        <w:t>识图大赛组委会</w:t>
      </w:r>
    </w:p>
    <w:p w14:paraId="7C210B48">
      <w:pPr>
        <w:pStyle w:val="2"/>
        <w:spacing w:before="170" w:line="220" w:lineRule="auto"/>
        <w:ind w:left="5019"/>
      </w:pPr>
      <w:r>
        <w:rPr>
          <w:rFonts w:ascii="Times New Roman" w:hAnsi="Times New Roman" w:eastAsia="Times New Roman" w:cs="Times New Roman"/>
          <w:spacing w:val="-5"/>
        </w:rPr>
        <w:t xml:space="preserve">2026 </w:t>
      </w:r>
      <w:r>
        <w:rPr>
          <w:spacing w:val="-5"/>
        </w:rPr>
        <w:t>年</w:t>
      </w:r>
      <w:r>
        <w:rPr>
          <w:spacing w:val="-64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>6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-5"/>
        </w:rPr>
        <w:t>月</w:t>
      </w:r>
      <w:r>
        <w:rPr>
          <w:spacing w:val="-77"/>
        </w:rPr>
        <w:t xml:space="preserve"> </w:t>
      </w:r>
      <w:r>
        <w:rPr>
          <w:rFonts w:ascii="Times New Roman" w:hAnsi="Times New Roman" w:eastAsia="Times New Roman" w:cs="Times New Roman"/>
          <w:spacing w:val="-5"/>
        </w:rPr>
        <w:t xml:space="preserve">3  </w:t>
      </w:r>
      <w:r>
        <w:rPr>
          <w:spacing w:val="-5"/>
        </w:rPr>
        <w:t>日</w:t>
      </w:r>
    </w:p>
    <w:sectPr>
      <w:footerReference r:id="rId12" w:type="default"/>
      <w:pgSz w:w="11906" w:h="16839"/>
      <w:pgMar w:top="1431" w:right="1293" w:bottom="1136" w:left="1603" w:header="0" w:footer="76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E2F">
    <w:pPr>
      <w:spacing w:line="361" w:lineRule="exact"/>
      <w:ind w:left="3909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12"/>
        <w:position w:val="1"/>
        <w:sz w:val="28"/>
        <w:szCs w:val="28"/>
      </w:rPr>
      <w:t>—</w:t>
    </w:r>
    <w:r>
      <w:rPr>
        <w:rFonts w:ascii="Arial" w:hAnsi="Arial" w:eastAsia="Arial" w:cs="Arial"/>
        <w:spacing w:val="9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12"/>
        <w:position w:val="1"/>
        <w:sz w:val="28"/>
        <w:szCs w:val="28"/>
      </w:rPr>
      <w:t>1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12"/>
        <w:position w:val="1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82F20A">
    <w:pPr>
      <w:spacing w:line="361" w:lineRule="exact"/>
      <w:ind w:left="3908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4"/>
        <w:w w:val="98"/>
        <w:position w:val="1"/>
        <w:sz w:val="28"/>
        <w:szCs w:val="28"/>
      </w:rPr>
      <w:t>—</w:t>
    </w:r>
    <w:r>
      <w:rPr>
        <w:rFonts w:ascii="Arial" w:hAnsi="Arial" w:eastAsia="Arial" w:cs="Arial"/>
        <w:spacing w:val="6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4"/>
        <w:w w:val="98"/>
        <w:position w:val="1"/>
        <w:sz w:val="28"/>
        <w:szCs w:val="28"/>
      </w:rPr>
      <w:t>2</w:t>
    </w:r>
    <w:r>
      <w:rPr>
        <w:rFonts w:ascii="Arial" w:hAnsi="Arial" w:eastAsia="Arial" w:cs="Arial"/>
        <w:spacing w:val="1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4"/>
        <w:w w:val="98"/>
        <w:position w:val="1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E2BE18">
    <w:pPr>
      <w:spacing w:line="358" w:lineRule="exact"/>
      <w:ind w:left="3911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  <w:r>
      <w:rPr>
        <w:rFonts w:ascii="Arial" w:hAnsi="Arial" w:eastAsia="Arial" w:cs="Arial"/>
        <w:spacing w:val="5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3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BF98F">
    <w:pPr>
      <w:spacing w:line="361" w:lineRule="exact"/>
      <w:ind w:left="3910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1"/>
        <w:w w:val="97"/>
        <w:position w:val="1"/>
        <w:sz w:val="28"/>
        <w:szCs w:val="28"/>
      </w:rPr>
      <w:t>—</w:t>
    </w:r>
    <w:r>
      <w:rPr>
        <w:rFonts w:ascii="Arial" w:hAnsi="Arial" w:eastAsia="Arial" w:cs="Arial"/>
        <w:spacing w:val="5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1"/>
        <w:w w:val="97"/>
        <w:position w:val="1"/>
        <w:sz w:val="28"/>
        <w:szCs w:val="28"/>
      </w:rPr>
      <w:t>4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1"/>
        <w:w w:val="97"/>
        <w:position w:val="1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19B63">
    <w:pPr>
      <w:spacing w:line="358" w:lineRule="exact"/>
      <w:ind w:left="3906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  <w:r>
      <w:rPr>
        <w:rFonts w:ascii="Arial" w:hAnsi="Arial" w:eastAsia="Arial" w:cs="Arial"/>
        <w:spacing w:val="5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5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58198">
    <w:pPr>
      <w:spacing w:line="358" w:lineRule="exact"/>
      <w:ind w:left="3908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7"/>
        <w:w w:val="99"/>
        <w:position w:val="1"/>
        <w:sz w:val="28"/>
        <w:szCs w:val="28"/>
      </w:rPr>
      <w:t>—</w:t>
    </w:r>
    <w:r>
      <w:rPr>
        <w:rFonts w:ascii="Arial" w:hAnsi="Arial" w:eastAsia="Arial" w:cs="Arial"/>
        <w:spacing w:val="6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7"/>
        <w:w w:val="99"/>
        <w:position w:val="1"/>
        <w:sz w:val="28"/>
        <w:szCs w:val="28"/>
      </w:rPr>
      <w:t>6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7"/>
        <w:w w:val="99"/>
        <w:position w:val="1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7BBF5">
    <w:pPr>
      <w:spacing w:line="361" w:lineRule="exact"/>
      <w:ind w:left="3912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  <w:r>
      <w:rPr>
        <w:rFonts w:ascii="Arial" w:hAnsi="Arial" w:eastAsia="Arial" w:cs="Arial"/>
        <w:spacing w:val="5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7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6DED72">
    <w:pPr>
      <w:spacing w:line="358" w:lineRule="exact"/>
      <w:ind w:left="3899"/>
      <w:rPr>
        <w:rFonts w:ascii="Arial" w:hAnsi="Arial" w:eastAsia="Arial" w:cs="Arial"/>
        <w:sz w:val="28"/>
        <w:szCs w:val="28"/>
      </w:rPr>
    </w:pP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  <w:r>
      <w:rPr>
        <w:rFonts w:ascii="Arial" w:hAnsi="Arial" w:eastAsia="Arial" w:cs="Arial"/>
        <w:spacing w:val="5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8</w:t>
    </w:r>
    <w:r>
      <w:rPr>
        <w:rFonts w:ascii="Arial" w:hAnsi="Arial" w:eastAsia="Arial" w:cs="Arial"/>
        <w:spacing w:val="2"/>
        <w:position w:val="1"/>
        <w:sz w:val="28"/>
        <w:szCs w:val="28"/>
      </w:rPr>
      <w:t xml:space="preserve">   </w:t>
    </w:r>
    <w:r>
      <w:rPr>
        <w:rFonts w:ascii="Arial" w:hAnsi="Arial" w:eastAsia="Arial" w:cs="Arial"/>
        <w:spacing w:val="-8"/>
        <w:position w:val="1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66757A5"/>
    <w:rsid w:val="643E7C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5d5e56f8-15dd-4660-a814-3312902c01b6</errorID>
      <errorWord>来自于</errorWord>
      <group>L1_Grammar</group>
      <groupName>语法问题</groupName>
      <ability>L2_Grammar</ability>
      <abilityName>语法错误</abilityName>
      <candidateList>
        <item>来自</item>
      </candidateList>
      <explain>该表达中的“来自于”存在语义重复。【词汇解析】来自：表示“来源于”。包含了“于”的意思。</explain>
      <paraID>61D554C3</paraID>
      <start>35</start>
      <end>38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6a24416-7b27-41ea-a431-f5063c4e42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3454</Words>
  <Characters>3764</Characters>
  <TotalTime>1</TotalTime>
  <ScaleCrop>false</ScaleCrop>
  <LinksUpToDate>false</LinksUpToDate>
  <CharactersWithSpaces>3869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2026-06-26T10:23:00Z</dcterms:created>
  <dc:creator>123456</dc:creator>
  <cp:lastModifiedBy>小酷</cp:lastModifiedBy>
  <dcterms:modified xsi:type="dcterms:W3CDTF">2026-06-29T05:45:56Z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2026-06-29T13:44:32Z</vt:filetime>
  </property>
  <property fmtid="{D5CDD505-2E9C-101B-9397-08002B2CF9AE}" pid="4" name="KSOTemplateDocerSaveRecord">
    <vt:lpwstr>eyJoZGlkIjoiZTg0ZWFlOGMwMjk3YjU2ZWZiNWUwM2EwMmU3NmJlYjMiLCJ1c2VySWQiOiI3MTA3MTQ5OTMifQ==</vt:lpwstr>
  </property>
  <property fmtid="{D5CDD505-2E9C-101B-9397-08002B2CF9AE}" pid="5" name="KSOProductBuildVer">
    <vt:lpwstr>2052-12.1.0.26895</vt:lpwstr>
  </property>
  <property fmtid="{D5CDD505-2E9C-101B-9397-08002B2CF9AE}" pid="6" name="ICV">
    <vt:lpwstr>555F99E56D2B41EEABA0B03E6831522D_12</vt:lpwstr>
  </property>
</Properties>
</file>