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line="400" w:lineRule="exact"/>
        <w:rPr>
          <w:rFonts w:hint="eastAsia" w:ascii="黑体" w:hAnsi="黑体" w:eastAsia="黑体"/>
          <w:bCs/>
          <w:snapToGrid w:val="0"/>
          <w:spacing w:val="6"/>
          <w:sz w:val="32"/>
          <w:szCs w:val="32"/>
        </w:rPr>
      </w:pPr>
      <w:bookmarkStart w:id="0" w:name="_GoBack"/>
      <w:bookmarkEnd w:id="0"/>
      <w:r>
        <w:rPr>
          <w:rFonts w:hint="eastAsia" w:ascii="黑体" w:hAnsi="黑体" w:eastAsia="黑体"/>
          <w:bCs/>
          <w:snapToGrid w:val="0"/>
          <w:spacing w:val="6"/>
          <w:sz w:val="32"/>
          <w:szCs w:val="32"/>
        </w:rPr>
        <w:t>附件1</w:t>
      </w:r>
    </w:p>
    <w:p>
      <w:pPr>
        <w:shd w:val="clear" w:color="auto" w:fill="FFFFFF"/>
        <w:spacing w:line="456" w:lineRule="atLeast"/>
        <w:ind w:firstLine="480"/>
        <w:jc w:val="center"/>
        <w:rPr>
          <w:rFonts w:hint="eastAsia" w:ascii="宋体" w:hAnsi="宋体" w:cs="Arial"/>
          <w:b/>
          <w:color w:val="000000"/>
          <w:sz w:val="44"/>
          <w:szCs w:val="44"/>
        </w:rPr>
      </w:pPr>
    </w:p>
    <w:p>
      <w:pPr>
        <w:shd w:val="clear" w:color="auto" w:fill="FFFFFF"/>
        <w:spacing w:line="456" w:lineRule="atLeast"/>
        <w:ind w:firstLine="480"/>
        <w:jc w:val="center"/>
        <w:rPr>
          <w:rFonts w:hint="eastAsia" w:ascii="宋体" w:hAnsi="宋体" w:cs="Arial"/>
          <w:b/>
          <w:color w:val="000000"/>
          <w:sz w:val="44"/>
          <w:szCs w:val="44"/>
        </w:rPr>
      </w:pPr>
      <w:r>
        <w:rPr>
          <w:rFonts w:hint="eastAsia" w:ascii="宋体" w:hAnsi="宋体" w:cs="Arial"/>
          <w:b/>
          <w:color w:val="000000"/>
          <w:sz w:val="44"/>
          <w:szCs w:val="44"/>
        </w:rPr>
        <w:t>哈尔滨市科协助力青年科技工作者</w:t>
      </w:r>
    </w:p>
    <w:p>
      <w:pPr>
        <w:shd w:val="clear" w:color="auto" w:fill="FFFFFF"/>
        <w:spacing w:line="456" w:lineRule="atLeast"/>
        <w:ind w:firstLine="480"/>
        <w:jc w:val="center"/>
        <w:rPr>
          <w:rFonts w:hint="eastAsia" w:ascii="宋体" w:hAnsi="宋体" w:cs="Arial"/>
          <w:b/>
          <w:color w:val="000000"/>
          <w:sz w:val="44"/>
          <w:szCs w:val="44"/>
        </w:rPr>
      </w:pPr>
      <w:r>
        <w:rPr>
          <w:rFonts w:hint="eastAsia" w:ascii="宋体" w:hAnsi="宋体" w:cs="Arial"/>
          <w:b/>
          <w:color w:val="000000"/>
          <w:sz w:val="44"/>
          <w:szCs w:val="44"/>
        </w:rPr>
        <w:t>创新创业工程实施方案</w:t>
      </w:r>
    </w:p>
    <w:p>
      <w:pPr>
        <w:shd w:val="clear" w:color="auto" w:fill="FFFFFF"/>
        <w:spacing w:line="456" w:lineRule="atLeast"/>
        <w:ind w:firstLine="480"/>
        <w:jc w:val="left"/>
        <w:rPr>
          <w:rFonts w:hint="eastAsia" w:ascii="仿宋" w:hAnsi="仿宋" w:eastAsia="仿宋" w:cs="Arial"/>
          <w:color w:val="000000"/>
          <w:sz w:val="27"/>
          <w:szCs w:val="27"/>
        </w:rPr>
      </w:pPr>
    </w:p>
    <w:p>
      <w:pPr>
        <w:shd w:val="clear" w:color="auto" w:fill="FFFFFF"/>
        <w:spacing w:line="560" w:lineRule="exact"/>
        <w:ind w:firstLine="707" w:firstLineChars="221"/>
        <w:rPr>
          <w:rFonts w:hint="eastAsia" w:ascii="仿宋" w:hAnsi="仿宋" w:eastAsia="仿宋" w:cs="Arial"/>
          <w:sz w:val="32"/>
          <w:szCs w:val="32"/>
        </w:rPr>
      </w:pPr>
      <w:r>
        <w:rPr>
          <w:rFonts w:hint="eastAsia" w:ascii="仿宋" w:hAnsi="仿宋" w:eastAsia="仿宋" w:cs="Arial"/>
          <w:sz w:val="32"/>
          <w:szCs w:val="32"/>
        </w:rPr>
        <w:t>为深入贯彻</w:t>
      </w:r>
      <w:r>
        <w:rPr>
          <w:rFonts w:hint="eastAsia" w:ascii="仿宋" w:hAnsi="仿宋" w:eastAsia="仿宋" w:cs="宋体"/>
          <w:color w:val="000000"/>
          <w:sz w:val="32"/>
          <w:szCs w:val="32"/>
        </w:rPr>
        <w:t>党的“十九大”精神</w:t>
      </w:r>
      <w:r>
        <w:rPr>
          <w:rFonts w:hint="eastAsia" w:ascii="仿宋" w:hAnsi="仿宋" w:eastAsia="仿宋"/>
          <w:sz w:val="32"/>
          <w:szCs w:val="32"/>
        </w:rPr>
        <w:t>，</w:t>
      </w:r>
      <w:r>
        <w:rPr>
          <w:rFonts w:hint="eastAsia" w:ascii="仿宋" w:hAnsi="仿宋" w:eastAsia="仿宋" w:cs="Arial"/>
          <w:sz w:val="32"/>
          <w:szCs w:val="32"/>
        </w:rPr>
        <w:t>充分发挥科协系统在实施创新驱动发展战略中的重要作用，助力科技工作者创新创业，推动地方科技创新和经济社会发展，市科协决定组织实施哈尔滨市科协助力青年科技工作者创新创业工程。为做好此项工作，特制定本方案：</w:t>
      </w:r>
    </w:p>
    <w:p>
      <w:pPr>
        <w:shd w:val="clear" w:color="auto" w:fill="FFFFFF"/>
        <w:spacing w:line="560" w:lineRule="exact"/>
        <w:ind w:firstLine="610" w:firstLineChars="190"/>
        <w:jc w:val="left"/>
        <w:rPr>
          <w:rFonts w:hint="eastAsia" w:ascii="宋体" w:hAnsi="宋体" w:cs="Arial"/>
          <w:b/>
          <w:sz w:val="32"/>
          <w:szCs w:val="32"/>
        </w:rPr>
      </w:pPr>
      <w:r>
        <w:rPr>
          <w:rFonts w:hint="eastAsia" w:ascii="宋体" w:hAnsi="宋体" w:cs="Arial"/>
          <w:b/>
          <w:sz w:val="32"/>
          <w:szCs w:val="32"/>
        </w:rPr>
        <w:t>一、指导思想</w:t>
      </w:r>
    </w:p>
    <w:p>
      <w:pPr>
        <w:shd w:val="clear" w:color="auto" w:fill="FFFFFF"/>
        <w:spacing w:line="560" w:lineRule="exact"/>
        <w:ind w:firstLine="614" w:firstLineChars="192"/>
        <w:jc w:val="left"/>
        <w:rPr>
          <w:rFonts w:hint="eastAsia" w:ascii="仿宋" w:hAnsi="仿宋" w:eastAsia="仿宋"/>
          <w:sz w:val="32"/>
          <w:szCs w:val="32"/>
        </w:rPr>
      </w:pPr>
      <w:r>
        <w:rPr>
          <w:rFonts w:hint="eastAsia" w:ascii="仿宋" w:hAnsi="仿宋" w:eastAsia="仿宋" w:cs="Arial"/>
          <w:sz w:val="32"/>
          <w:szCs w:val="32"/>
        </w:rPr>
        <w:t>以</w:t>
      </w:r>
      <w:r>
        <w:rPr>
          <w:rFonts w:hint="eastAsia" w:ascii="仿宋" w:hAnsi="仿宋" w:eastAsia="仿宋" w:cs="宋体"/>
          <w:color w:val="000000"/>
          <w:sz w:val="32"/>
          <w:szCs w:val="32"/>
        </w:rPr>
        <w:t>党的“十九大”精神</w:t>
      </w:r>
      <w:r>
        <w:rPr>
          <w:rFonts w:hint="eastAsia" w:ascii="仿宋" w:hAnsi="仿宋" w:eastAsia="仿宋" w:cs="Arial"/>
          <w:sz w:val="32"/>
          <w:szCs w:val="32"/>
        </w:rPr>
        <w:t>为指导，全面贯彻落实市委十四届九次全会精神和中国科协关于实施创新驱动助力工程的部署，推进科协改革不断深入开展，坚持</w:t>
      </w:r>
      <w:r>
        <w:rPr>
          <w:rFonts w:hint="eastAsia" w:ascii="仿宋" w:hAnsi="仿宋" w:eastAsia="仿宋" w:cs="宋体"/>
          <w:color w:val="000000"/>
          <w:sz w:val="32"/>
          <w:szCs w:val="32"/>
        </w:rPr>
        <w:t>科协为科技工作者服务、为创新驱动发展服务、为提高全民科学素质服务、为党和政府科学决策服务的“四个服务”职责定位，推动科协开放型、枢纽型、平台型</w:t>
      </w:r>
      <w:r>
        <w:rPr>
          <w:rFonts w:hint="eastAsia" w:ascii="仿宋" w:hAnsi="仿宋" w:eastAsia="仿宋" w:cs="宋体"/>
          <w:sz w:val="32"/>
          <w:szCs w:val="32"/>
        </w:rPr>
        <w:t>的“三型”组织建设，组织开展创新争先行动，充分发挥科协组织的科技智力优势，积极搭建创新创业平台，引导助力我市青年科技工作者创新创业，团结引领广大科技工作者积极进军科技创新，为推动哈尔滨全面振兴全方位振兴服务。</w:t>
      </w:r>
    </w:p>
    <w:p>
      <w:pPr>
        <w:shd w:val="clear" w:color="auto" w:fill="FFFFFF"/>
        <w:spacing w:line="560" w:lineRule="exact"/>
        <w:ind w:firstLine="777" w:firstLineChars="242"/>
        <w:jc w:val="left"/>
        <w:rPr>
          <w:rFonts w:hint="eastAsia" w:ascii="宋体" w:hAnsi="宋体" w:cs="宋体"/>
          <w:b/>
          <w:sz w:val="32"/>
          <w:szCs w:val="32"/>
        </w:rPr>
      </w:pPr>
      <w:r>
        <w:rPr>
          <w:rFonts w:hint="eastAsia" w:ascii="宋体" w:hAnsi="宋体" w:cs="宋体"/>
          <w:b/>
          <w:sz w:val="32"/>
          <w:szCs w:val="32"/>
        </w:rPr>
        <w:t>二、主要内容</w:t>
      </w:r>
    </w:p>
    <w:p>
      <w:pPr>
        <w:shd w:val="clear" w:color="auto" w:fill="FFFFFF"/>
        <w:spacing w:line="560" w:lineRule="exact"/>
        <w:ind w:firstLine="771" w:firstLineChars="241"/>
        <w:jc w:val="left"/>
        <w:rPr>
          <w:rFonts w:hint="eastAsia" w:ascii="仿宋" w:hAnsi="仿宋" w:eastAsia="仿宋" w:cs="宋体"/>
          <w:sz w:val="32"/>
          <w:szCs w:val="32"/>
        </w:rPr>
      </w:pPr>
      <w:r>
        <w:rPr>
          <w:rFonts w:hint="eastAsia" w:ascii="仿宋" w:hAnsi="仿宋" w:eastAsia="仿宋" w:cs="宋体"/>
          <w:sz w:val="32"/>
          <w:szCs w:val="32"/>
        </w:rPr>
        <w:t>1．搭建发现平台。通过科技创新创业大赛、评比等平台，发现选拔科技含量高、成长性好的青年科技工作者科技创新企业，探索为科技创新型企业的起步提供“第一公里服务”。</w:t>
      </w:r>
    </w:p>
    <w:p>
      <w:pPr>
        <w:shd w:val="clear" w:color="auto" w:fill="FFFFFF"/>
        <w:spacing w:line="560" w:lineRule="exact"/>
        <w:ind w:firstLine="614" w:firstLineChars="192"/>
        <w:jc w:val="left"/>
        <w:rPr>
          <w:rFonts w:hint="eastAsia" w:ascii="仿宋" w:hAnsi="仿宋" w:eastAsia="仿宋" w:cs="宋体"/>
          <w:sz w:val="32"/>
          <w:szCs w:val="32"/>
        </w:rPr>
      </w:pPr>
      <w:r>
        <w:rPr>
          <w:rFonts w:hint="eastAsia" w:ascii="仿宋" w:hAnsi="仿宋" w:eastAsia="仿宋" w:cs="宋体"/>
          <w:sz w:val="32"/>
          <w:szCs w:val="32"/>
        </w:rPr>
        <w:t>2．奖补助力成长。重点帮扶青年科技工作者科技创新型小微企业，给予企业技术升级、商业化开发和经营发展培训交流服务资金奖补支持，实现顺利孵化和健康成长，推动其进入科技开发园区成长壮大提供“最后一公里服务”。</w:t>
      </w:r>
      <w:r>
        <w:rPr>
          <w:rFonts w:hint="eastAsia" w:ascii="仿宋" w:hAnsi="仿宋" w:eastAsia="仿宋" w:cs="宋体"/>
          <w:sz w:val="32"/>
          <w:szCs w:val="32"/>
        </w:rPr>
        <w:br w:type="textWrapping"/>
      </w:r>
      <w:r>
        <w:rPr>
          <w:rFonts w:hint="eastAsia" w:ascii="仿宋" w:hAnsi="仿宋" w:eastAsia="仿宋" w:cs="宋体"/>
          <w:sz w:val="32"/>
          <w:szCs w:val="32"/>
        </w:rPr>
        <w:t xml:space="preserve">    3.提供科技服务。充分发挥科协人才智力优势，组织专家团队，通过市科协企会协作、院士专家企业行等活动帮助科技创新企业解决技术问题；提供发展升级咨询建议；促进研究机构与科技创新企业之间的人才服务与技术转移；整合引进社会科技资源，搭建产业链、协作企业的合作平台。</w:t>
      </w:r>
    </w:p>
    <w:p>
      <w:pPr>
        <w:shd w:val="clear" w:color="auto" w:fill="FFFFFF"/>
        <w:spacing w:line="560" w:lineRule="exact"/>
        <w:ind w:firstLine="617" w:firstLineChars="192"/>
        <w:jc w:val="left"/>
        <w:rPr>
          <w:rFonts w:hint="eastAsia" w:ascii="宋体" w:hAnsi="宋体" w:cs="宋体"/>
          <w:b/>
          <w:sz w:val="32"/>
          <w:szCs w:val="32"/>
        </w:rPr>
      </w:pPr>
      <w:r>
        <w:rPr>
          <w:rFonts w:hint="eastAsia" w:ascii="宋体" w:hAnsi="宋体" w:cs="宋体"/>
          <w:b/>
          <w:sz w:val="32"/>
          <w:szCs w:val="32"/>
        </w:rPr>
        <w:t xml:space="preserve"> 三、目标任务</w:t>
      </w:r>
    </w:p>
    <w:p>
      <w:pPr>
        <w:shd w:val="clear" w:color="auto" w:fill="FFFFFF"/>
        <w:spacing w:line="560" w:lineRule="exact"/>
        <w:ind w:firstLine="614" w:firstLineChars="192"/>
        <w:rPr>
          <w:rFonts w:hint="eastAsia" w:ascii="宋体" w:hAnsi="宋体" w:cs="宋体"/>
          <w:b/>
          <w:sz w:val="32"/>
          <w:szCs w:val="32"/>
        </w:rPr>
      </w:pPr>
      <w:r>
        <w:rPr>
          <w:rFonts w:hint="eastAsia" w:ascii="仿宋" w:hAnsi="仿宋" w:eastAsia="仿宋" w:cs="宋体"/>
          <w:sz w:val="32"/>
          <w:szCs w:val="32"/>
        </w:rPr>
        <w:t>发挥科协组织系统优势，面向创新源头在哈大学、大所的青年科技工作者创新企业，每年择优助力支持10至20个，给予3万元至10万元不等的资金支持，提供科技创新企业的孵化起步和向开发区集聚快速成长的“第一公里服务”和“最后一公里服务”，为发现和培养未来更多的优秀科技型企业奠定基础。</w:t>
      </w:r>
    </w:p>
    <w:p>
      <w:pPr>
        <w:shd w:val="clear" w:color="auto" w:fill="FFFFFF"/>
        <w:spacing w:line="560" w:lineRule="exact"/>
        <w:ind w:firstLine="630" w:firstLineChars="196"/>
        <w:jc w:val="left"/>
        <w:rPr>
          <w:rFonts w:hint="eastAsia" w:ascii="宋体" w:hAnsi="宋体" w:cs="宋体"/>
          <w:b/>
          <w:sz w:val="32"/>
          <w:szCs w:val="32"/>
        </w:rPr>
      </w:pPr>
      <w:r>
        <w:rPr>
          <w:rFonts w:hint="eastAsia" w:ascii="宋体" w:hAnsi="宋体" w:cs="宋体"/>
          <w:b/>
          <w:sz w:val="32"/>
          <w:szCs w:val="32"/>
        </w:rPr>
        <w:t>四、基本原则</w:t>
      </w:r>
    </w:p>
    <w:p>
      <w:pPr>
        <w:shd w:val="clear" w:color="auto" w:fill="FFFFFF"/>
        <w:spacing w:line="560" w:lineRule="exact"/>
        <w:ind w:firstLine="640" w:firstLineChars="200"/>
        <w:jc w:val="left"/>
        <w:rPr>
          <w:rFonts w:hint="eastAsia" w:ascii="仿宋" w:hAnsi="仿宋" w:eastAsia="仿宋" w:cs="宋体"/>
          <w:sz w:val="32"/>
          <w:szCs w:val="32"/>
        </w:rPr>
      </w:pPr>
      <w:r>
        <w:rPr>
          <w:rFonts w:hint="eastAsia" w:ascii="仿宋" w:hAnsi="仿宋" w:eastAsia="仿宋" w:cs="宋体"/>
          <w:sz w:val="32"/>
          <w:szCs w:val="32"/>
        </w:rPr>
        <w:t>1．突出重点，示范引领。以哈尔滨区域内的大学、大所的青年科技工作者创新企业为重点助力对象，提供技术、人才、项目服务以及奖补资金支持。通过助力科创</w:t>
      </w:r>
      <w:r>
        <w:rPr>
          <w:rFonts w:hint="eastAsia" w:ascii="仿宋" w:hAnsi="仿宋" w:eastAsia="仿宋" w:cs="Arial"/>
          <w:sz w:val="32"/>
          <w:szCs w:val="32"/>
        </w:rPr>
        <w:t>工程</w:t>
      </w:r>
      <w:r>
        <w:rPr>
          <w:rFonts w:hint="eastAsia" w:ascii="仿宋" w:hAnsi="仿宋" w:eastAsia="仿宋" w:cs="宋体"/>
          <w:sz w:val="32"/>
          <w:szCs w:val="32"/>
        </w:rPr>
        <w:t>的示范引领，鼓励广大青年科技工作者创新创业。</w:t>
      </w:r>
    </w:p>
    <w:p>
      <w:pPr>
        <w:widowControl w:val="0"/>
        <w:shd w:val="clear" w:color="auto" w:fill="FFFFFF"/>
        <w:spacing w:line="560" w:lineRule="exact"/>
        <w:ind w:firstLine="771" w:firstLineChars="241"/>
        <w:jc w:val="left"/>
        <w:rPr>
          <w:rFonts w:hint="eastAsia" w:ascii="仿宋" w:hAnsi="仿宋" w:eastAsia="仿宋" w:cs="宋体"/>
          <w:sz w:val="32"/>
          <w:szCs w:val="32"/>
        </w:rPr>
      </w:pPr>
      <w:r>
        <w:rPr>
          <w:rFonts w:hint="eastAsia" w:ascii="仿宋" w:hAnsi="仿宋" w:eastAsia="仿宋" w:cs="宋体"/>
          <w:sz w:val="32"/>
          <w:szCs w:val="32"/>
        </w:rPr>
        <w:t xml:space="preserve">2．整合力量，协同推进。科协以自身学会、高校科协、研究机构科协和企业科协为创新要素基础，争取上级科协以及市级有关部门的支持与合作互动，共同推进哈尔滨青年科技工作者创新企业发展。  </w:t>
      </w:r>
    </w:p>
    <w:p>
      <w:pPr>
        <w:widowControl w:val="0"/>
        <w:shd w:val="clear" w:color="auto" w:fill="FFFFFF"/>
        <w:spacing w:line="560" w:lineRule="exact"/>
        <w:ind w:firstLine="640" w:firstLineChars="200"/>
        <w:jc w:val="left"/>
        <w:rPr>
          <w:rFonts w:hint="eastAsia" w:ascii="仿宋" w:hAnsi="仿宋" w:eastAsia="仿宋" w:cs="宋体"/>
          <w:sz w:val="32"/>
          <w:szCs w:val="32"/>
        </w:rPr>
      </w:pPr>
      <w:r>
        <w:rPr>
          <w:rFonts w:hint="eastAsia" w:ascii="仿宋" w:hAnsi="仿宋" w:eastAsia="仿宋" w:cs="宋体"/>
          <w:sz w:val="32"/>
          <w:szCs w:val="32"/>
        </w:rPr>
        <w:t>3．科技主导，突出创新。助力科创</w:t>
      </w:r>
      <w:r>
        <w:rPr>
          <w:rFonts w:hint="eastAsia" w:ascii="仿宋" w:hAnsi="仿宋" w:eastAsia="仿宋" w:cs="Arial"/>
          <w:sz w:val="32"/>
          <w:szCs w:val="32"/>
        </w:rPr>
        <w:t>工程</w:t>
      </w:r>
      <w:r>
        <w:rPr>
          <w:rFonts w:hint="eastAsia" w:ascii="仿宋" w:hAnsi="仿宋" w:eastAsia="仿宋" w:cs="宋体"/>
          <w:sz w:val="32"/>
          <w:szCs w:val="32"/>
        </w:rPr>
        <w:t>的扶助对象突出以重点区域发展战略和战略性新兴产业为导向的科技型企业、创新型企业，主导产品、技术在行业领域具有科技性、引领性、成长性。</w:t>
      </w:r>
    </w:p>
    <w:p>
      <w:pPr>
        <w:shd w:val="clear" w:color="auto" w:fill="FFFFFF"/>
        <w:spacing w:line="560" w:lineRule="exact"/>
        <w:ind w:firstLine="617" w:firstLineChars="192"/>
        <w:jc w:val="left"/>
        <w:rPr>
          <w:rFonts w:hint="eastAsia" w:ascii="宋体" w:hAnsi="宋体" w:cs="宋体"/>
          <w:b/>
          <w:sz w:val="32"/>
          <w:szCs w:val="32"/>
        </w:rPr>
      </w:pPr>
      <w:r>
        <w:rPr>
          <w:rFonts w:hint="eastAsia" w:ascii="宋体" w:hAnsi="宋体" w:cs="宋体"/>
          <w:b/>
          <w:sz w:val="32"/>
          <w:szCs w:val="32"/>
        </w:rPr>
        <w:t>五、工作程序</w:t>
      </w:r>
    </w:p>
    <w:p>
      <w:pPr>
        <w:shd w:val="clear" w:color="auto" w:fill="FFFFFF"/>
        <w:spacing w:line="560" w:lineRule="exact"/>
        <w:ind w:firstLine="771" w:firstLineChars="241"/>
        <w:jc w:val="left"/>
        <w:rPr>
          <w:rFonts w:hint="eastAsia" w:ascii="仿宋" w:hAnsi="仿宋" w:eastAsia="仿宋" w:cs="宋体"/>
          <w:sz w:val="32"/>
          <w:szCs w:val="32"/>
        </w:rPr>
      </w:pPr>
      <w:r>
        <w:rPr>
          <w:rFonts w:hint="eastAsia" w:ascii="仿宋" w:hAnsi="仿宋" w:eastAsia="仿宋" w:cs="宋体"/>
          <w:sz w:val="32"/>
          <w:szCs w:val="32"/>
        </w:rPr>
        <w:t>1．择优资助。组织专家对年度申报的大学生（青年科技工作者）</w:t>
      </w:r>
      <w:r>
        <w:rPr>
          <w:rFonts w:hint="eastAsia" w:ascii="仿宋" w:hAnsi="仿宋" w:eastAsia="仿宋" w:cs="Arial"/>
          <w:sz w:val="32"/>
          <w:szCs w:val="32"/>
        </w:rPr>
        <w:t>创新创业企业进行评审</w:t>
      </w:r>
      <w:r>
        <w:rPr>
          <w:rFonts w:hint="eastAsia" w:ascii="仿宋" w:hAnsi="仿宋" w:eastAsia="仿宋" w:cs="宋体"/>
          <w:sz w:val="32"/>
          <w:szCs w:val="32"/>
        </w:rPr>
        <w:t>，择优给予资金奖补支持，并按需提供科技服务。</w:t>
      </w:r>
    </w:p>
    <w:p>
      <w:pPr>
        <w:spacing w:line="560" w:lineRule="exact"/>
        <w:ind w:firstLine="800" w:firstLineChars="250"/>
        <w:jc w:val="left"/>
        <w:rPr>
          <w:rFonts w:hint="eastAsia" w:ascii="仿宋" w:hAnsi="仿宋" w:eastAsia="仿宋" w:cs="Arial"/>
          <w:sz w:val="32"/>
          <w:szCs w:val="32"/>
        </w:rPr>
      </w:pPr>
      <w:r>
        <w:rPr>
          <w:rFonts w:hint="eastAsia" w:ascii="仿宋" w:hAnsi="仿宋" w:eastAsia="仿宋" w:cs="宋体"/>
          <w:sz w:val="32"/>
          <w:szCs w:val="32"/>
        </w:rPr>
        <w:t>2．建站设点。在优秀科技创新企业建立科协科技服务站，形成专家企业对接长效服务机制，为创新创业提供科技服务。</w:t>
      </w:r>
    </w:p>
    <w:p>
      <w:pPr>
        <w:shd w:val="clear" w:color="auto" w:fill="FFFFFF"/>
        <w:spacing w:line="560" w:lineRule="exact"/>
        <w:ind w:firstLine="771" w:firstLineChars="241"/>
        <w:jc w:val="left"/>
        <w:rPr>
          <w:rFonts w:hint="eastAsia" w:ascii="仿宋" w:hAnsi="仿宋" w:eastAsia="仿宋" w:cs="宋体"/>
          <w:sz w:val="32"/>
          <w:szCs w:val="32"/>
        </w:rPr>
      </w:pPr>
      <w:r>
        <w:rPr>
          <w:rFonts w:hint="eastAsia" w:ascii="仿宋" w:hAnsi="仿宋" w:eastAsia="仿宋" w:cs="宋体"/>
          <w:sz w:val="32"/>
          <w:szCs w:val="32"/>
        </w:rPr>
        <w:t>3．追踪评估。对重点助力支持的科技创新企业进行追踪和评估。加强全程跟踪服务，注重助力工作督查，确保助力资金的正确使用和助力科创</w:t>
      </w:r>
      <w:r>
        <w:rPr>
          <w:rFonts w:hint="eastAsia" w:ascii="仿宋" w:hAnsi="仿宋" w:eastAsia="仿宋" w:cs="Arial"/>
          <w:sz w:val="32"/>
          <w:szCs w:val="32"/>
        </w:rPr>
        <w:t>工程</w:t>
      </w:r>
      <w:r>
        <w:rPr>
          <w:rFonts w:hint="eastAsia" w:ascii="仿宋" w:hAnsi="仿宋" w:eastAsia="仿宋" w:cs="宋体"/>
          <w:sz w:val="32"/>
          <w:szCs w:val="32"/>
        </w:rPr>
        <w:t>取得实效。</w:t>
      </w:r>
    </w:p>
    <w:p>
      <w:pPr>
        <w:shd w:val="clear" w:color="auto" w:fill="FFFFFF"/>
        <w:spacing w:line="560" w:lineRule="exact"/>
        <w:ind w:firstLine="771" w:firstLineChars="241"/>
        <w:jc w:val="left"/>
        <w:rPr>
          <w:rFonts w:hint="eastAsia" w:ascii="仿宋" w:hAnsi="仿宋" w:eastAsia="仿宋" w:cs="宋体"/>
          <w:sz w:val="32"/>
          <w:szCs w:val="32"/>
        </w:rPr>
      </w:pPr>
      <w:r>
        <w:rPr>
          <w:rFonts w:hint="eastAsia" w:ascii="仿宋" w:hAnsi="仿宋" w:eastAsia="仿宋" w:cs="宋体"/>
          <w:sz w:val="32"/>
          <w:szCs w:val="32"/>
        </w:rPr>
        <w:t>4．宣传举荐。对优秀大学生（青年科技工作者）</w:t>
      </w:r>
      <w:r>
        <w:rPr>
          <w:rFonts w:hint="eastAsia" w:ascii="仿宋" w:hAnsi="仿宋" w:eastAsia="仿宋" w:cs="Arial"/>
          <w:sz w:val="32"/>
          <w:szCs w:val="32"/>
        </w:rPr>
        <w:t>创新创业企业进行宣传报道，择优推荐参加和申报科协系统的有关活动和支持项目</w:t>
      </w:r>
      <w:r>
        <w:rPr>
          <w:rFonts w:hint="eastAsia" w:ascii="仿宋" w:hAnsi="仿宋" w:eastAsia="仿宋" w:cs="宋体"/>
          <w:sz w:val="32"/>
          <w:szCs w:val="32"/>
        </w:rPr>
        <w:t>。</w:t>
      </w:r>
    </w:p>
    <w:p>
      <w:pPr>
        <w:widowControl w:val="0"/>
        <w:spacing w:line="400" w:lineRule="exact"/>
        <w:rPr>
          <w:rFonts w:hint="eastAsia" w:ascii="黑体" w:hAnsi="宋体" w:eastAsia="黑体" w:cs="宋体"/>
          <w:sz w:val="32"/>
          <w:szCs w:val="32"/>
        </w:rPr>
      </w:pPr>
    </w:p>
    <w:p>
      <w:pPr>
        <w:widowControl w:val="0"/>
        <w:spacing w:line="400" w:lineRule="exact"/>
        <w:rPr>
          <w:rFonts w:hint="eastAsia" w:ascii="黑体" w:hAnsi="宋体" w:eastAsia="黑体" w:cs="宋体"/>
          <w:sz w:val="32"/>
          <w:szCs w:val="32"/>
        </w:rPr>
      </w:pPr>
    </w:p>
    <w:p>
      <w:pPr>
        <w:widowControl w:val="0"/>
        <w:spacing w:line="400" w:lineRule="exact"/>
        <w:rPr>
          <w:rFonts w:hint="eastAsia" w:ascii="黑体" w:hAnsi="宋体" w:eastAsia="黑体" w:cs="宋体"/>
          <w:sz w:val="32"/>
          <w:szCs w:val="32"/>
        </w:rPr>
      </w:pPr>
    </w:p>
    <w:p>
      <w:pPr>
        <w:widowControl w:val="0"/>
        <w:spacing w:line="400" w:lineRule="exact"/>
        <w:rPr>
          <w:rFonts w:hint="eastAsia" w:ascii="黑体" w:hAnsi="宋体" w:eastAsia="黑体" w:cs="宋体"/>
          <w:sz w:val="32"/>
          <w:szCs w:val="32"/>
        </w:rPr>
      </w:pPr>
    </w:p>
    <w:p>
      <w:pPr>
        <w:widowControl w:val="0"/>
        <w:spacing w:line="400" w:lineRule="exact"/>
        <w:rPr>
          <w:rFonts w:hint="eastAsia" w:ascii="黑体" w:hAnsi="宋体" w:eastAsia="黑体" w:cs="宋体"/>
          <w:sz w:val="32"/>
          <w:szCs w:val="32"/>
        </w:rPr>
      </w:pPr>
    </w:p>
    <w:p>
      <w:pPr>
        <w:widowControl w:val="0"/>
        <w:spacing w:line="400" w:lineRule="exact"/>
        <w:rPr>
          <w:rFonts w:hint="eastAsia" w:ascii="黑体" w:hAnsi="宋体" w:eastAsia="黑体" w:cs="宋体"/>
          <w:sz w:val="32"/>
          <w:szCs w:val="32"/>
        </w:rPr>
      </w:pPr>
    </w:p>
    <w:p>
      <w:pPr>
        <w:widowControl w:val="0"/>
        <w:spacing w:line="400" w:lineRule="exact"/>
        <w:rPr>
          <w:rFonts w:hint="eastAsia" w:ascii="黑体" w:hAnsi="宋体" w:eastAsia="黑体" w:cs="宋体"/>
          <w:sz w:val="32"/>
          <w:szCs w:val="32"/>
        </w:rPr>
      </w:pPr>
    </w:p>
    <w:p>
      <w:pPr>
        <w:widowControl w:val="0"/>
        <w:spacing w:line="400" w:lineRule="exact"/>
        <w:rPr>
          <w:rFonts w:hint="eastAsia" w:ascii="黑体" w:hAnsi="宋体" w:eastAsia="黑体" w:cs="宋体"/>
          <w:sz w:val="32"/>
          <w:szCs w:val="32"/>
        </w:rPr>
      </w:pPr>
    </w:p>
    <w:p>
      <w:pPr>
        <w:widowControl w:val="0"/>
        <w:spacing w:line="400" w:lineRule="exact"/>
        <w:rPr>
          <w:rFonts w:hint="eastAsia" w:ascii="黑体" w:hAnsi="宋体" w:eastAsia="黑体" w:cs="宋体"/>
          <w:sz w:val="32"/>
          <w:szCs w:val="32"/>
        </w:rPr>
      </w:pPr>
    </w:p>
    <w:p>
      <w:pPr>
        <w:widowControl w:val="0"/>
        <w:spacing w:line="400" w:lineRule="exact"/>
        <w:rPr>
          <w:rFonts w:hint="eastAsia" w:ascii="黑体" w:hAnsi="宋体" w:eastAsia="黑体" w:cs="宋体"/>
          <w:sz w:val="32"/>
          <w:szCs w:val="32"/>
        </w:rPr>
      </w:pPr>
    </w:p>
    <w:p>
      <w:pPr>
        <w:widowControl w:val="0"/>
        <w:spacing w:line="400" w:lineRule="exact"/>
        <w:rPr>
          <w:rFonts w:hint="eastAsia" w:ascii="黑体" w:hAnsi="宋体" w:eastAsia="黑体" w:cs="宋体"/>
          <w:sz w:val="32"/>
          <w:szCs w:val="32"/>
        </w:rPr>
      </w:pPr>
    </w:p>
    <w:p>
      <w:pPr>
        <w:widowControl w:val="0"/>
        <w:spacing w:line="400" w:lineRule="exact"/>
        <w:rPr>
          <w:rFonts w:hint="eastAsia" w:ascii="黑体" w:hAnsi="宋体" w:eastAsia="黑体" w:cs="宋体"/>
          <w:sz w:val="32"/>
          <w:szCs w:val="32"/>
        </w:rPr>
      </w:pPr>
    </w:p>
    <w:p>
      <w:pPr>
        <w:widowControl w:val="0"/>
        <w:spacing w:line="400" w:lineRule="exact"/>
        <w:rPr>
          <w:rFonts w:hint="eastAsia" w:ascii="黑体" w:hAnsi="宋体" w:eastAsia="黑体" w:cs="宋体"/>
          <w:sz w:val="32"/>
          <w:szCs w:val="32"/>
        </w:rPr>
      </w:pPr>
    </w:p>
    <w:p>
      <w:pPr>
        <w:widowControl w:val="0"/>
        <w:spacing w:line="400" w:lineRule="exact"/>
        <w:rPr>
          <w:rFonts w:hint="eastAsia" w:ascii="黑体" w:hAnsi="宋体" w:eastAsia="黑体" w:cs="宋体"/>
          <w:sz w:val="32"/>
          <w:szCs w:val="32"/>
        </w:rPr>
      </w:pPr>
    </w:p>
    <w:p>
      <w:pPr>
        <w:widowControl w:val="0"/>
        <w:spacing w:line="400" w:lineRule="exact"/>
        <w:rPr>
          <w:rFonts w:hint="eastAsia" w:ascii="黑体" w:hAnsi="宋体" w:eastAsia="黑体" w:cs="宋体"/>
          <w:sz w:val="32"/>
          <w:szCs w:val="32"/>
        </w:rPr>
      </w:pPr>
    </w:p>
    <w:p>
      <w:r>
        <w:rPr>
          <w:rFonts w:hint="eastAsia" w:ascii="仿宋_GB2312" w:hAnsi="仿宋" w:eastAsia="仿宋_GB2312"/>
          <w:sz w:val="32"/>
          <w:szCs w:val="32"/>
        </w:rPr>
        <w:drawing>
          <wp:anchor distT="0" distB="0" distL="114300" distR="114300" simplePos="0" relativeHeight="251659264" behindDoc="0" locked="0" layoutInCell="1" allowOverlap="1">
            <wp:simplePos x="0" y="0"/>
            <wp:positionH relativeFrom="column">
              <wp:posOffset>4375785</wp:posOffset>
            </wp:positionH>
            <wp:positionV relativeFrom="paragraph">
              <wp:posOffset>6818630</wp:posOffset>
            </wp:positionV>
            <wp:extent cx="1514475" cy="1504950"/>
            <wp:effectExtent l="0" t="0" r="9525" b="0"/>
            <wp:wrapNone/>
            <wp:docPr id="1" name="图片 3" descr="市科协章.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市科协章.tif"/>
                    <pic:cNvPicPr>
                      <a:picLocks noChangeAspect="1"/>
                    </pic:cNvPicPr>
                  </pic:nvPicPr>
                  <pic:blipFill>
                    <a:blip r:embed="rId4">
                      <a:clrChange>
                        <a:clrFrom>
                          <a:srgbClr val="FFFFFF"/>
                        </a:clrFrom>
                        <a:clrTo>
                          <a:srgbClr val="FFFFFF">
                            <a:alpha val="0"/>
                          </a:srgbClr>
                        </a:clrTo>
                      </a:clrChange>
                    </a:blip>
                    <a:stretch>
                      <a:fillRect/>
                    </a:stretch>
                  </pic:blipFill>
                  <pic:spPr>
                    <a:xfrm>
                      <a:off x="0" y="0"/>
                      <a:ext cx="1514475" cy="1504950"/>
                    </a:xfrm>
                    <a:prstGeom prst="rect">
                      <a:avLst/>
                    </a:prstGeom>
                    <a:noFill/>
                    <a:ln>
                      <a:noFill/>
                    </a:ln>
                  </pic:spPr>
                </pic:pic>
              </a:graphicData>
            </a:graphic>
          </wp:anchor>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3C4429"/>
    <w:rsid w:val="1C3C4429"/>
    <w:rsid w:val="5D381E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2021-03-25T04:36:00Z</dcterms:created>
  <dc:creator>Administrator</dc:creator>
  <cp:lastModifiedBy>常规操作</cp:lastModifiedBy>
  <dcterms:modified xsi:type="dcterms:W3CDTF">2021-03-28T13:11:42Z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4935C8E46A384F5399FF42E9A2911D77</vt:lpwstr>
  </property>
</Properties>
</file>