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2A9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附件1</w:t>
      </w:r>
    </w:p>
    <w:p w14:paraId="1E7BE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  <w:t>第十一届“创客中国”黑龙江省</w:t>
      </w:r>
    </w:p>
    <w:p w14:paraId="164A2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lang w:val="en-US" w:eastAsia="zh-CN"/>
        </w:rPr>
        <w:t>中小企业创新创业大赛方案</w:t>
      </w:r>
    </w:p>
    <w:p w14:paraId="1F7E3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8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000000"/>
          <w:spacing w:val="0"/>
          <w:sz w:val="44"/>
          <w:szCs w:val="44"/>
          <w:lang w:val="en-US" w:eastAsia="zh-CN"/>
        </w:rPr>
      </w:pPr>
    </w:p>
    <w:p w14:paraId="128B1A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大赛宗旨</w:t>
      </w:r>
    </w:p>
    <w:p w14:paraId="391529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4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围绕产业链，部署创新链，配置资金链，培育人才链。</w:t>
      </w:r>
    </w:p>
    <w:p w14:paraId="1E499A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时间地点</w:t>
      </w:r>
    </w:p>
    <w:p w14:paraId="66320EA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4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时间：202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年7月至9月</w:t>
      </w:r>
    </w:p>
    <w:p w14:paraId="15FEE4F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4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地点：决赛在哈尔滨市举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办</w:t>
      </w:r>
    </w:p>
    <w:p w14:paraId="289522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组织机制</w:t>
      </w:r>
    </w:p>
    <w:p w14:paraId="671443F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大赛设立组委会，统筹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负责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组织实施工作。组委会主任由省工业和信息化厅有关负责同志担任，各承办单位为成员单位。组委会下设办公室和评审委员会，秉持公平、公正、公开的原则开展赛事活动。</w:t>
      </w:r>
    </w:p>
    <w:p w14:paraId="0697EC0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组委会办公室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组委会办公室设在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省工业和信息化厅融资服务与培训处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，负责协调各成员单位开展宣传推广、组织实施、技术保障等工作。</w:t>
      </w:r>
    </w:p>
    <w:p w14:paraId="17162E7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（二）评审委员会。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评审委员会由评审专家组成，负责初赛、复赛、决赛的评审工作，具体包括参赛项目评审、完善评审规则、提供专业咨询等。</w:t>
      </w:r>
    </w:p>
    <w:p w14:paraId="5FC5DA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参赛条件</w:t>
      </w:r>
    </w:p>
    <w:p w14:paraId="30142F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（一）企业组</w:t>
      </w:r>
    </w:p>
    <w:p w14:paraId="7C237F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1.在中国境内注册，符合《中小企业划型标准规定》的中小微企业；</w:t>
      </w:r>
    </w:p>
    <w:p w14:paraId="30C50C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2.参赛项目已进入市场，具有良好发展潜力；</w:t>
      </w:r>
    </w:p>
    <w:p w14:paraId="5B648E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3.拥有自主知识产权且无产权纠纷，参赛项目知识产权须隶属于报名企业；</w:t>
      </w:r>
    </w:p>
    <w:p w14:paraId="1437C4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4.企业无严重失信记录。</w:t>
      </w:r>
    </w:p>
    <w:p w14:paraId="14DBB4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（二）创业组</w:t>
      </w:r>
    </w:p>
    <w:p w14:paraId="481E70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1.包括初创企业或创客团队：</w:t>
      </w:r>
    </w:p>
    <w:p w14:paraId="68496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（1）初创企业：注册时间不满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年的中小微企业（工商注册日期在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（含）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之后注册）；</w:t>
      </w:r>
    </w:p>
    <w:p w14:paraId="11AFCE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（2）创客团队：遵纪守法的创业团队、个人、高校、科研院所团队，同一人员不得作为多个团队核心成员参赛。其中获奖证书中体现团队核心成员数量原则上不超过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人。</w:t>
      </w:r>
    </w:p>
    <w:p w14:paraId="110ABC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2.参赛项目的创意、产品、技术及相关知识产权归属初创企业或创客团队核心成员，与其他单位或个人无知识产权纠纷；</w:t>
      </w:r>
    </w:p>
    <w:p w14:paraId="2DED7E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3.初创企业存在严重失信记录、创客团队成员被列为失信名单的不得参赛。</w:t>
      </w:r>
    </w:p>
    <w:p w14:paraId="05AC564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赛程安排</w:t>
      </w:r>
    </w:p>
    <w:p w14:paraId="4E84B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（一）初赛。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初赛定于8月上旬举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，由评审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委员会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通过审阅项目材料的方式进行评审，遴选企业组110强、创业组60强晋级复赛。</w:t>
      </w:r>
    </w:p>
    <w:p w14:paraId="64DF4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（二）复赛。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复赛定于8月下旬举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，由评审委员会通过项目路演的方式进行评审，遴选企业组11强、创业组6强晋级决赛。</w:t>
      </w:r>
    </w:p>
    <w:p w14:paraId="0F3AC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（三）决赛。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决赛定于8月下旬举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，采用现场演示、答辩、当场亮分及现场公证的方式进行评审，最终评选出企业组一等奖1名、二等奖2名、三等奖3名；创业组一二三等奖各 1名。</w:t>
      </w:r>
    </w:p>
    <w:p w14:paraId="7EB2D9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政策激励</w:t>
      </w:r>
    </w:p>
    <w:p w14:paraId="33FCF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（一）宣传展示。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联系全省权威媒体，对大赛活动进行宣传报道；推荐入围复赛项目在黑龙江企业服务网进行展示宣传；推荐入围决赛项目通过“创客中国”国家创新创业公共服务平台、中国国际中小企业博览会、中小企业服务月等渠道，进行展示宣传及服务推介。</w:t>
      </w:r>
    </w:p>
    <w:p w14:paraId="4CA0D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（二）人才培育。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大赛构建“培训、竞赛、孵化”三位一体的服务体系。入围复赛的参赛者可报名参加“创客中国”人才培训项目，优先获得全方位培育辅导服务；大赛将邀请优秀企业家担任创业导师，助力参赛项目与产业资源深度对接。</w:t>
      </w:r>
    </w:p>
    <w:p w14:paraId="37AC5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（三）产融服务。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中信银行哈尔滨分行将为参赛企业（团队）提供全生命周期的综合金融服务方案，依托科创e贷、小天元中小企业数字化管理平台、供应链金融、国际业务结算、科创金融等多元化产品支持企业发展。为参赛企业配备1名专属客户经理，提供“一站式、一对一、全周期”金融服务。针对大赛获奖企业，还将进一步提供“一户一策”业务指导与定制化金融服务，并将其纳入重点企业名单库，优先受理各项金融需求。在符合银行融资条件的前提下，给予相应贷款利率优惠。</w:t>
      </w:r>
    </w:p>
    <w:p w14:paraId="7A71E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（四）股权对接。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省区域性股权市场（黑龙江股权交易中心）将为入围复赛项目开通绿色通道，通过自身运营的区域“四板”市场和我省科技大市场，为参赛项目提供公益性展示推广，在资本市场、科技市场免费对接全国范围内的产业合作方、投融合作方、技术合作方。对入围复赛的企业组项目，优先推荐进入区域性股权市场融资路演平台，参与全国性专题路演活动，面向全国投资机构进行项目融资推介与对接。对于符合挂牌条件的企业，将免费受理挂牌申请，帮助企业进入“专精特新”专板，并持续为企业提供规范培育、顾问咨询、融资对接、改制辅导等专业服务。符合新三板挂牌条件的企业，可通过龙江股交三四板“绿色通道”享受申报前咨询、申报时专道优先受理、申报后专人快速审核等服务。</w:t>
      </w:r>
    </w:p>
    <w:p w14:paraId="71419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（五）成果转化。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推荐入围国赛企业组500强的项目参加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企业需求回访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座谈会及全国重点产业链对接会，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行业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领域和实际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需求协调提供落地孵化、管理咨询、人才引育等多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成果转化服务。鼓励各市（地）将大赛获奖项目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入本地区专精特新企业重点培育名录，做好与优质中小企业梯度政策的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有机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衔接。</w:t>
      </w:r>
    </w:p>
    <w:p w14:paraId="64E89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sectPr>
          <w:pgSz w:w="11906" w:h="16838"/>
          <w:pgMar w:top="2154" w:right="1587" w:bottom="1587" w:left="1587" w:header="850" w:footer="992" w:gutter="0"/>
          <w:cols w:space="720" w:num="1"/>
          <w:rtlGutter w:val="0"/>
          <w:docGrid w:type="linesAndChars" w:linePitch="623" w:charSpace="-842"/>
        </w:sect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（注：主办方对方案内容有最终解释权）</w:t>
      </w:r>
    </w:p>
    <w:p w14:paraId="440A79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7A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24856"/>
    <w:rsid w:val="10124856"/>
    <w:rsid w:val="1FB23172"/>
    <w:rsid w:val="33381DFF"/>
    <w:rsid w:val="412F661E"/>
    <w:rsid w:val="4A934476"/>
    <w:rsid w:val="5BAE5416"/>
    <w:rsid w:val="5F3571D5"/>
    <w:rsid w:val="657A05ED"/>
    <w:rsid w:val="7AFB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1741</Words>
  <Characters>1760</Characters>
  <Lines>0</Lines>
  <Paragraphs>0</Paragraphs>
  <TotalTime>0</TotalTime>
  <ScaleCrop>false</ScaleCrop>
  <LinksUpToDate>false</LinksUpToDate>
  <CharactersWithSpaces>1761</CharactersWithSpaces>
  <Application>WPS Office_12.1.0.26373_F1E327BC-269C-435d-A152-05C5408002CA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2026-06-02T13:34:00Z</dcterms:created>
  <dc:creator>王宇</dc:creator>
  <cp:lastModifiedBy>王宇</cp:lastModifiedBy>
  <dcterms:modified xsi:type="dcterms:W3CDTF">2026-06-02T13:36:10Z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2052-12.1.0.26373</vt:lpwstr>
  </property>
  <property fmtid="{D5CDD505-2E9C-101B-9397-08002B2CF9AE}" pid="3" name="ICV">
    <vt:lpwstr>151415659D6C464F9DAB22B5FA1CD7B0_13</vt:lpwstr>
  </property>
  <property fmtid="{D5CDD505-2E9C-101B-9397-08002B2CF9AE}" pid="4" name="KSOTemplateDocerSaveRecord">
    <vt:lpwstr>eyJoZGlkIjoiMTA2MTM2NjA1NDAzYWY2ODBmODQyYjlkNzkzNDNiNzciLCJ1c2VySWQiOiIxODAwMDMwNjU2In0=</vt:lpwstr>
  </property>
</Properties>
</file>